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AC524">
      <w:pPr>
        <w:jc w:val="center"/>
        <w:rPr>
          <w:rFonts w:ascii="黑体" w:hAnsi="黑体" w:eastAsia="黑体"/>
          <w:sz w:val="32"/>
          <w:szCs w:val="32"/>
        </w:rPr>
      </w:pPr>
      <w:r>
        <w:rPr>
          <w:rFonts w:hint="eastAsia" w:ascii="黑体" w:hAnsi="黑体" w:eastAsia="黑体"/>
          <w:sz w:val="32"/>
          <w:szCs w:val="32"/>
        </w:rPr>
        <w:t>福建</w:t>
      </w:r>
      <w:r>
        <w:rPr>
          <w:rFonts w:ascii="黑体" w:hAnsi="黑体" w:eastAsia="黑体"/>
          <w:sz w:val="32"/>
          <w:szCs w:val="32"/>
        </w:rPr>
        <w:t>开放大学</w:t>
      </w:r>
      <w:r>
        <w:rPr>
          <w:rFonts w:hint="eastAsia" w:ascii="黑体" w:hAnsi="黑体" w:eastAsia="黑体"/>
          <w:sz w:val="32"/>
          <w:szCs w:val="32"/>
        </w:rPr>
        <w:t>开放教育本科会计学专业</w:t>
      </w:r>
    </w:p>
    <w:p w14:paraId="6EF9B9BC">
      <w:pPr>
        <w:jc w:val="center"/>
        <w:rPr>
          <w:rFonts w:ascii="黑体" w:hAnsi="黑体" w:eastAsia="黑体"/>
          <w:sz w:val="32"/>
          <w:szCs w:val="32"/>
        </w:rPr>
      </w:pPr>
      <w:r>
        <w:rPr>
          <w:rFonts w:hint="eastAsia" w:ascii="黑体" w:hAnsi="黑体" w:eastAsia="黑体"/>
          <w:sz w:val="32"/>
          <w:szCs w:val="32"/>
        </w:rPr>
        <w:t>综合实践环节实施细则</w:t>
      </w:r>
    </w:p>
    <w:p w14:paraId="7D576252">
      <w:pPr>
        <w:jc w:val="center"/>
        <w:rPr>
          <w:sz w:val="28"/>
          <w:szCs w:val="28"/>
        </w:rPr>
      </w:pPr>
      <w:r>
        <w:rPr>
          <w:sz w:val="28"/>
          <w:szCs w:val="28"/>
        </w:rPr>
        <w:t>2025</w:t>
      </w:r>
      <w:r>
        <w:rPr>
          <w:rFonts w:hint="eastAsia"/>
          <w:sz w:val="28"/>
          <w:szCs w:val="28"/>
        </w:rPr>
        <w:t>年3月修订</w:t>
      </w:r>
    </w:p>
    <w:p w14:paraId="1C63DBE7">
      <w:pPr>
        <w:spacing w:line="360" w:lineRule="auto"/>
        <w:ind w:firstLine="480" w:firstLineChars="200"/>
        <w:rPr>
          <w:sz w:val="24"/>
          <w:szCs w:val="24"/>
        </w:rPr>
      </w:pPr>
      <w:r>
        <w:rPr>
          <w:rFonts w:hint="eastAsia"/>
          <w:sz w:val="24"/>
          <w:szCs w:val="24"/>
        </w:rPr>
        <w:t>福建开放</w:t>
      </w:r>
      <w:r>
        <w:rPr>
          <w:sz w:val="24"/>
          <w:szCs w:val="24"/>
        </w:rPr>
        <w:t>大学</w:t>
      </w:r>
      <w:r>
        <w:rPr>
          <w:rFonts w:hint="eastAsia"/>
          <w:sz w:val="24"/>
          <w:szCs w:val="24"/>
        </w:rPr>
        <w:t>开放教育</w:t>
      </w:r>
      <w:r>
        <w:rPr>
          <w:sz w:val="24"/>
          <w:szCs w:val="24"/>
        </w:rPr>
        <w:t>会计学本科专业培养的是</w:t>
      </w:r>
      <w:r>
        <w:rPr>
          <w:rFonts w:hint="eastAsia"/>
          <w:sz w:val="24"/>
          <w:szCs w:val="24"/>
        </w:rPr>
        <w:t>具有较强分析问题、解决问题的能力和决策能力，应用性、复合型的会计专业人才。</w:t>
      </w:r>
      <w:r>
        <w:rPr>
          <w:sz w:val="24"/>
          <w:szCs w:val="24"/>
        </w:rPr>
        <w:t>本专业融理论、技能于一体，专业性、实践性较强。为锻炼培养学生的</w:t>
      </w:r>
      <w:r>
        <w:rPr>
          <w:rFonts w:hint="eastAsia"/>
          <w:sz w:val="24"/>
          <w:szCs w:val="24"/>
        </w:rPr>
        <w:t>实践</w:t>
      </w:r>
      <w:r>
        <w:rPr>
          <w:sz w:val="24"/>
          <w:szCs w:val="24"/>
        </w:rPr>
        <w:t>操作能力，增强学生</w:t>
      </w:r>
      <w:r>
        <w:rPr>
          <w:rFonts w:hint="eastAsia"/>
          <w:sz w:val="24"/>
          <w:szCs w:val="24"/>
        </w:rPr>
        <w:t>的</w:t>
      </w:r>
      <w:r>
        <w:rPr>
          <w:sz w:val="24"/>
          <w:szCs w:val="24"/>
        </w:rPr>
        <w:t>工作适应性，特根据专业规则制定</w:t>
      </w:r>
      <w:r>
        <w:rPr>
          <w:rFonts w:hint="eastAsia"/>
          <w:sz w:val="24"/>
          <w:szCs w:val="24"/>
        </w:rPr>
        <w:t>综合实践环节实施细则</w:t>
      </w:r>
      <w:r>
        <w:rPr>
          <w:sz w:val="24"/>
          <w:szCs w:val="24"/>
        </w:rPr>
        <w:t>。会计学专业</w:t>
      </w:r>
      <w:r>
        <w:rPr>
          <w:rFonts w:hint="eastAsia"/>
          <w:sz w:val="24"/>
          <w:szCs w:val="24"/>
        </w:rPr>
        <w:t>综合</w:t>
      </w:r>
      <w:r>
        <w:rPr>
          <w:sz w:val="24"/>
          <w:szCs w:val="24"/>
        </w:rPr>
        <w:t>实践环节包括</w:t>
      </w:r>
      <w:r>
        <w:rPr>
          <w:rFonts w:hint="eastAsia"/>
          <w:sz w:val="24"/>
          <w:szCs w:val="24"/>
        </w:rPr>
        <w:t>会计</w:t>
      </w:r>
      <w:r>
        <w:rPr>
          <w:sz w:val="24"/>
          <w:szCs w:val="24"/>
        </w:rPr>
        <w:t>管理模拟实验和</w:t>
      </w:r>
      <w:r>
        <w:rPr>
          <w:rFonts w:hint="eastAsia"/>
          <w:sz w:val="24"/>
          <w:szCs w:val="24"/>
        </w:rPr>
        <w:t>毕业论文</w:t>
      </w:r>
      <w:r>
        <w:rPr>
          <w:sz w:val="24"/>
          <w:szCs w:val="24"/>
        </w:rPr>
        <w:t>两部分内容，分别计3学分和5学分。</w:t>
      </w:r>
      <w:r>
        <w:rPr>
          <w:rFonts w:hint="eastAsia"/>
          <w:sz w:val="24"/>
          <w:szCs w:val="24"/>
        </w:rPr>
        <w:t>综合实践环节不得免修。</w:t>
      </w:r>
      <w:r>
        <w:rPr>
          <w:sz w:val="24"/>
          <w:szCs w:val="24"/>
        </w:rPr>
        <w:t>具体要求如下：</w:t>
      </w:r>
    </w:p>
    <w:p w14:paraId="3DF7E6FD">
      <w:pPr>
        <w:spacing w:line="360" w:lineRule="auto"/>
        <w:ind w:firstLine="562" w:firstLineChars="200"/>
        <w:jc w:val="center"/>
        <w:rPr>
          <w:rFonts w:ascii="黑体" w:hAnsi="黑体" w:eastAsia="黑体"/>
          <w:b/>
          <w:sz w:val="28"/>
          <w:szCs w:val="28"/>
        </w:rPr>
      </w:pPr>
      <w:r>
        <w:rPr>
          <w:rFonts w:hint="eastAsia" w:ascii="黑体" w:hAnsi="黑体" w:eastAsia="黑体"/>
          <w:b/>
          <w:sz w:val="28"/>
          <w:szCs w:val="28"/>
        </w:rPr>
        <w:t xml:space="preserve">第一部分 </w:t>
      </w:r>
      <w:r>
        <w:rPr>
          <w:rFonts w:ascii="黑体" w:hAnsi="黑体" w:eastAsia="黑体"/>
          <w:b/>
          <w:sz w:val="28"/>
          <w:szCs w:val="28"/>
        </w:rPr>
        <w:t xml:space="preserve"> </w:t>
      </w:r>
      <w:r>
        <w:rPr>
          <w:rFonts w:hint="eastAsia" w:ascii="黑体" w:hAnsi="黑体" w:eastAsia="黑体"/>
          <w:b/>
          <w:sz w:val="28"/>
          <w:szCs w:val="28"/>
        </w:rPr>
        <w:t>会计管理模拟实验</w:t>
      </w:r>
    </w:p>
    <w:p w14:paraId="6A6548FB">
      <w:pPr>
        <w:spacing w:line="360" w:lineRule="auto"/>
        <w:ind w:firstLine="480" w:firstLineChars="200"/>
        <w:rPr>
          <w:sz w:val="24"/>
          <w:szCs w:val="24"/>
        </w:rPr>
      </w:pPr>
      <w:r>
        <w:rPr>
          <w:sz w:val="24"/>
          <w:szCs w:val="24"/>
        </w:rPr>
        <w:t>会计管理模拟实验是会计学本科专业</w:t>
      </w:r>
      <w:r>
        <w:rPr>
          <w:rFonts w:hint="eastAsia"/>
          <w:sz w:val="24"/>
          <w:szCs w:val="24"/>
        </w:rPr>
        <w:t>综合</w:t>
      </w:r>
      <w:r>
        <w:rPr>
          <w:sz w:val="24"/>
          <w:szCs w:val="24"/>
        </w:rPr>
        <w:t>实践教学环节的重要组成部分，在教学工作中的意义越来越重要，是培养和训练学生认识、掌握会计技能的重要手段</w:t>
      </w:r>
      <w:r>
        <w:rPr>
          <w:rFonts w:hint="eastAsia"/>
          <w:sz w:val="24"/>
          <w:szCs w:val="24"/>
        </w:rPr>
        <w:t>，</w:t>
      </w:r>
      <w:r>
        <w:rPr>
          <w:sz w:val="24"/>
          <w:szCs w:val="24"/>
        </w:rPr>
        <w:t>尤其在培养学生的动手能力、独立分析问题的能力、解决问题的能力方面具有其它方法无法替代的作用，成为学生创新思维和创新能力培养的重要环节。通过本实验，使学生能够系统地掌握财政部颁布的企业会计准则、掌握财务分析和财务管理决策方法、掌握各种审计方法，从而为学生今后从事会计工作打下坚实的基础，成为理论与实际相结合的高级会计专业人才。</w:t>
      </w:r>
    </w:p>
    <w:p w14:paraId="4AADB38D">
      <w:pPr>
        <w:spacing w:line="360" w:lineRule="auto"/>
        <w:ind w:firstLine="562" w:firstLineChars="200"/>
        <w:rPr>
          <w:rFonts w:ascii="黑体" w:hAnsi="黑体" w:eastAsia="黑体"/>
          <w:sz w:val="28"/>
          <w:szCs w:val="28"/>
        </w:rPr>
      </w:pPr>
      <w:r>
        <w:rPr>
          <w:rFonts w:hint="eastAsia" w:ascii="黑体" w:hAnsi="黑体" w:eastAsia="黑体"/>
          <w:b/>
          <w:bCs/>
          <w:sz w:val="28"/>
          <w:szCs w:val="28"/>
        </w:rPr>
        <w:t>一、实验</w:t>
      </w:r>
      <w:r>
        <w:rPr>
          <w:rFonts w:ascii="黑体" w:hAnsi="黑体" w:eastAsia="黑体"/>
          <w:b/>
          <w:bCs/>
          <w:sz w:val="28"/>
          <w:szCs w:val="28"/>
        </w:rPr>
        <w:t>总体说明</w:t>
      </w:r>
    </w:p>
    <w:p w14:paraId="04CE176C">
      <w:pPr>
        <w:spacing w:line="360" w:lineRule="auto"/>
        <w:ind w:firstLine="562" w:firstLineChars="200"/>
        <w:rPr>
          <w:b/>
          <w:bCs/>
          <w:sz w:val="28"/>
          <w:szCs w:val="28"/>
        </w:rPr>
      </w:pPr>
      <w:r>
        <w:rPr>
          <w:rFonts w:hint="eastAsia"/>
          <w:b/>
          <w:sz w:val="28"/>
          <w:szCs w:val="28"/>
        </w:rPr>
        <w:t>1</w:t>
      </w:r>
      <w:r>
        <w:rPr>
          <w:b/>
          <w:sz w:val="28"/>
          <w:szCs w:val="28"/>
        </w:rPr>
        <w:t>.</w:t>
      </w:r>
      <w:r>
        <w:rPr>
          <w:rFonts w:hint="eastAsia"/>
          <w:b/>
          <w:bCs/>
          <w:sz w:val="28"/>
          <w:szCs w:val="28"/>
        </w:rPr>
        <w:t>实验目标</w:t>
      </w:r>
    </w:p>
    <w:p w14:paraId="71652CA0">
      <w:pPr>
        <w:spacing w:line="360" w:lineRule="auto"/>
        <w:ind w:firstLine="480" w:firstLineChars="200"/>
        <w:rPr>
          <w:sz w:val="24"/>
          <w:szCs w:val="24"/>
        </w:rPr>
      </w:pPr>
      <w:r>
        <w:rPr>
          <w:rFonts w:hint="eastAsia"/>
          <w:sz w:val="24"/>
          <w:szCs w:val="24"/>
        </w:rPr>
        <w:t>学员在教师和计算机的引导帮助下完成全部实习内容，通过实验应达到以下基本要求：</w:t>
      </w:r>
    </w:p>
    <w:p w14:paraId="516DDE46">
      <w:pPr>
        <w:spacing w:line="360" w:lineRule="auto"/>
        <w:ind w:firstLine="480" w:firstLineChars="200"/>
        <w:rPr>
          <w:sz w:val="24"/>
          <w:szCs w:val="24"/>
        </w:rPr>
      </w:pPr>
      <w:r>
        <w:rPr>
          <w:rFonts w:hint="eastAsia"/>
          <w:sz w:val="24"/>
          <w:szCs w:val="24"/>
        </w:rPr>
        <w:t>（1）要求学员了解、熟悉合并会计报表的种类及合并范围；</w:t>
      </w:r>
    </w:p>
    <w:p w14:paraId="7EF50FD9">
      <w:pPr>
        <w:spacing w:line="360" w:lineRule="auto"/>
        <w:ind w:firstLine="480" w:firstLineChars="200"/>
        <w:rPr>
          <w:sz w:val="24"/>
          <w:szCs w:val="24"/>
        </w:rPr>
      </w:pPr>
      <w:r>
        <w:rPr>
          <w:rFonts w:hint="eastAsia"/>
          <w:sz w:val="24"/>
          <w:szCs w:val="24"/>
        </w:rPr>
        <w:t>（2）了解并掌握合并资产负债表的编制程序以及合并资产负债表编制时应抵销的项目；</w:t>
      </w:r>
    </w:p>
    <w:p w14:paraId="1A6DF1AB">
      <w:pPr>
        <w:spacing w:line="360" w:lineRule="auto"/>
        <w:ind w:firstLine="480" w:firstLineChars="200"/>
        <w:rPr>
          <w:sz w:val="24"/>
          <w:szCs w:val="24"/>
        </w:rPr>
      </w:pPr>
      <w:r>
        <w:rPr>
          <w:rFonts w:hint="eastAsia"/>
          <w:sz w:val="24"/>
          <w:szCs w:val="24"/>
        </w:rPr>
        <w:t>（3）了解并掌握合并利润表的编制程序以及合并利润表编制时应抵销的项目；</w:t>
      </w:r>
    </w:p>
    <w:p w14:paraId="06DCEE16">
      <w:pPr>
        <w:spacing w:line="360" w:lineRule="auto"/>
        <w:ind w:firstLine="480" w:firstLineChars="200"/>
        <w:rPr>
          <w:sz w:val="24"/>
          <w:szCs w:val="24"/>
        </w:rPr>
      </w:pPr>
      <w:r>
        <w:rPr>
          <w:rFonts w:hint="eastAsia"/>
          <w:sz w:val="24"/>
          <w:szCs w:val="24"/>
        </w:rPr>
        <w:t>（4）了解并掌握合并现金流量表的编制程序以及合并现金流量表编制时应抵销的项目；</w:t>
      </w:r>
    </w:p>
    <w:p w14:paraId="64A687F9">
      <w:pPr>
        <w:spacing w:line="360" w:lineRule="auto"/>
        <w:ind w:firstLine="480" w:firstLineChars="200"/>
        <w:rPr>
          <w:sz w:val="24"/>
          <w:szCs w:val="24"/>
        </w:rPr>
      </w:pPr>
      <w:r>
        <w:rPr>
          <w:rFonts w:hint="eastAsia"/>
          <w:sz w:val="24"/>
          <w:szCs w:val="24"/>
        </w:rPr>
        <w:t>（5）了解并掌握合并所有者权益变动表的编制程序以及合并所有者权益变动表编制时应抵销的项目；</w:t>
      </w:r>
    </w:p>
    <w:p w14:paraId="63BB4E52">
      <w:pPr>
        <w:spacing w:line="360" w:lineRule="auto"/>
        <w:ind w:firstLine="480" w:firstLineChars="200"/>
        <w:rPr>
          <w:sz w:val="24"/>
          <w:szCs w:val="24"/>
        </w:rPr>
      </w:pPr>
      <w:r>
        <w:rPr>
          <w:rFonts w:hint="eastAsia"/>
          <w:sz w:val="24"/>
          <w:szCs w:val="24"/>
        </w:rPr>
        <w:t>（6）掌握财务分析基本程序和常用的财务分析方法；</w:t>
      </w:r>
    </w:p>
    <w:p w14:paraId="23B88B17">
      <w:pPr>
        <w:spacing w:line="360" w:lineRule="auto"/>
        <w:ind w:firstLine="480" w:firstLineChars="200"/>
        <w:rPr>
          <w:sz w:val="24"/>
          <w:szCs w:val="24"/>
        </w:rPr>
      </w:pPr>
      <w:r>
        <w:rPr>
          <w:rFonts w:hint="eastAsia"/>
          <w:sz w:val="24"/>
          <w:szCs w:val="24"/>
        </w:rPr>
        <w:t>（7）通过对审计学基本理论及审计技能的实训，使学生能熟练掌握审计学的基本理论、基本方法，了解审计流程，熟悉审计法规；</w:t>
      </w:r>
    </w:p>
    <w:p w14:paraId="79BCA906">
      <w:pPr>
        <w:spacing w:line="360" w:lineRule="auto"/>
        <w:ind w:firstLine="480" w:firstLineChars="200"/>
        <w:rPr>
          <w:sz w:val="24"/>
          <w:szCs w:val="24"/>
        </w:rPr>
      </w:pPr>
      <w:r>
        <w:rPr>
          <w:rFonts w:hint="eastAsia"/>
          <w:sz w:val="24"/>
          <w:szCs w:val="24"/>
        </w:rPr>
        <w:t>（8）要求学员能够对一些简单的审计具体案例进行分析和处理，提高分析问题和解决问题的能力；</w:t>
      </w:r>
    </w:p>
    <w:p w14:paraId="55AD49CF">
      <w:pPr>
        <w:spacing w:line="360" w:lineRule="auto"/>
        <w:ind w:firstLine="480" w:firstLineChars="200"/>
        <w:rPr>
          <w:sz w:val="28"/>
          <w:szCs w:val="28"/>
        </w:rPr>
      </w:pPr>
      <w:r>
        <w:rPr>
          <w:rFonts w:hint="eastAsia"/>
          <w:sz w:val="24"/>
          <w:szCs w:val="24"/>
        </w:rPr>
        <w:t>（9）要求学员根据掌握的知识和系统给出的资料，对一些财务决策的具体案例进行分析和处理，提高分析问题和解决问题的能力。</w:t>
      </w:r>
    </w:p>
    <w:p w14:paraId="73F56323">
      <w:pPr>
        <w:spacing w:line="360" w:lineRule="auto"/>
        <w:ind w:firstLine="562" w:firstLineChars="200"/>
        <w:rPr>
          <w:b/>
          <w:sz w:val="28"/>
          <w:szCs w:val="28"/>
        </w:rPr>
      </w:pPr>
      <w:r>
        <w:rPr>
          <w:rFonts w:hint="eastAsia"/>
          <w:b/>
          <w:sz w:val="28"/>
          <w:szCs w:val="28"/>
        </w:rPr>
        <w:t>2</w:t>
      </w:r>
      <w:r>
        <w:rPr>
          <w:b/>
          <w:sz w:val="28"/>
          <w:szCs w:val="28"/>
        </w:rPr>
        <w:t>.</w:t>
      </w:r>
      <w:r>
        <w:rPr>
          <w:rFonts w:hint="eastAsia"/>
          <w:b/>
          <w:sz w:val="28"/>
          <w:szCs w:val="28"/>
        </w:rPr>
        <w:t>模拟实验的形式</w:t>
      </w:r>
    </w:p>
    <w:p w14:paraId="6765D57B">
      <w:pPr>
        <w:spacing w:line="360" w:lineRule="auto"/>
        <w:ind w:firstLine="480" w:firstLineChars="200"/>
        <w:rPr>
          <w:sz w:val="24"/>
          <w:szCs w:val="24"/>
        </w:rPr>
      </w:pPr>
      <w:r>
        <w:rPr>
          <w:rFonts w:hint="eastAsia"/>
          <w:sz w:val="24"/>
          <w:szCs w:val="24"/>
        </w:rPr>
        <w:t>模拟实验采用网络远程方式，网络平台地址：</w:t>
      </w:r>
      <w:r>
        <w:fldChar w:fldCharType="begin"/>
      </w:r>
      <w:r>
        <w:instrText xml:space="preserve"> HYPERLINK "http://kjsy.fjou.edu.cn/fstkjgl/" </w:instrText>
      </w:r>
      <w:r>
        <w:fldChar w:fldCharType="separate"/>
      </w:r>
      <w:r>
        <w:rPr>
          <w:rStyle w:val="15"/>
          <w:sz w:val="24"/>
          <w:szCs w:val="24"/>
        </w:rPr>
        <w:t>http://kjsy.fjou.edu.cn/fstkjgl/</w:t>
      </w:r>
      <w:r>
        <w:rPr>
          <w:rStyle w:val="15"/>
          <w:sz w:val="24"/>
          <w:szCs w:val="24"/>
        </w:rPr>
        <w:fldChar w:fldCharType="end"/>
      </w:r>
      <w:r>
        <w:rPr>
          <w:rFonts w:hint="eastAsia"/>
          <w:sz w:val="24"/>
          <w:szCs w:val="24"/>
        </w:rPr>
        <w:t>。</w:t>
      </w:r>
    </w:p>
    <w:p w14:paraId="27E926DC">
      <w:pPr>
        <w:spacing w:line="360" w:lineRule="auto"/>
        <w:ind w:firstLine="480" w:firstLineChars="200"/>
        <w:rPr>
          <w:sz w:val="24"/>
          <w:szCs w:val="24"/>
        </w:rPr>
      </w:pPr>
      <w:r>
        <w:rPr>
          <w:rFonts w:hint="eastAsia"/>
          <w:sz w:val="24"/>
          <w:szCs w:val="24"/>
        </w:rPr>
        <w:t>学员实验部分由六大模块组成，分为“实验目的及要求”、“合并报表”、“财务分析”、“审计实务”、“管理决策”和“实验考核”。</w:t>
      </w:r>
    </w:p>
    <w:p w14:paraId="36848430">
      <w:pPr>
        <w:spacing w:line="360" w:lineRule="auto"/>
        <w:ind w:firstLine="562" w:firstLineChars="200"/>
        <w:rPr>
          <w:b/>
          <w:sz w:val="28"/>
          <w:szCs w:val="28"/>
        </w:rPr>
      </w:pPr>
      <w:r>
        <w:rPr>
          <w:rFonts w:hint="eastAsia"/>
          <w:b/>
          <w:sz w:val="28"/>
          <w:szCs w:val="28"/>
        </w:rPr>
        <w:t>3</w:t>
      </w:r>
      <w:r>
        <w:rPr>
          <w:b/>
          <w:sz w:val="28"/>
          <w:szCs w:val="28"/>
        </w:rPr>
        <w:t>.指导教师资格</w:t>
      </w:r>
    </w:p>
    <w:p w14:paraId="14CFFD1B">
      <w:pPr>
        <w:spacing w:line="360" w:lineRule="auto"/>
        <w:ind w:firstLine="480" w:firstLineChars="200"/>
        <w:rPr>
          <w:sz w:val="24"/>
          <w:szCs w:val="24"/>
        </w:rPr>
      </w:pPr>
      <w:r>
        <w:rPr>
          <w:sz w:val="24"/>
          <w:szCs w:val="24"/>
        </w:rPr>
        <w:t>会计管理模拟实验指导教师的选聘必须符合以下条件：</w:t>
      </w:r>
    </w:p>
    <w:p w14:paraId="0A2DBC38">
      <w:pPr>
        <w:spacing w:line="360" w:lineRule="auto"/>
        <w:ind w:firstLine="480" w:firstLineChars="200"/>
        <w:rPr>
          <w:sz w:val="24"/>
          <w:szCs w:val="24"/>
        </w:rPr>
      </w:pPr>
      <w:r>
        <w:rPr>
          <w:rFonts w:hint="eastAsia"/>
          <w:sz w:val="24"/>
          <w:szCs w:val="24"/>
        </w:rPr>
        <w:t>（1</w:t>
      </w:r>
      <w:r>
        <w:rPr>
          <w:sz w:val="24"/>
          <w:szCs w:val="24"/>
        </w:rPr>
        <w:t>）具有认真的工作态度、丰富的专业知识和较高的业务水平；</w:t>
      </w:r>
    </w:p>
    <w:p w14:paraId="179A67CB">
      <w:pPr>
        <w:spacing w:line="360" w:lineRule="auto"/>
        <w:ind w:firstLine="480" w:firstLineChars="200"/>
        <w:rPr>
          <w:sz w:val="24"/>
          <w:szCs w:val="24"/>
        </w:rPr>
      </w:pPr>
      <w:r>
        <w:rPr>
          <w:rFonts w:hint="eastAsia"/>
          <w:sz w:val="24"/>
          <w:szCs w:val="24"/>
        </w:rPr>
        <w:t>（2</w:t>
      </w:r>
      <w:r>
        <w:rPr>
          <w:sz w:val="24"/>
          <w:szCs w:val="24"/>
        </w:rPr>
        <w:t>）具有会计学专业本科及以上学历，中级及以上专业技术职务；</w:t>
      </w:r>
    </w:p>
    <w:p w14:paraId="198C9A1C">
      <w:pPr>
        <w:spacing w:line="360" w:lineRule="auto"/>
        <w:ind w:firstLine="480" w:firstLineChars="200"/>
        <w:rPr>
          <w:sz w:val="24"/>
          <w:szCs w:val="24"/>
        </w:rPr>
      </w:pPr>
      <w:r>
        <w:rPr>
          <w:rFonts w:hint="eastAsia"/>
          <w:sz w:val="24"/>
          <w:szCs w:val="24"/>
        </w:rPr>
        <w:t>（3</w:t>
      </w:r>
      <w:r>
        <w:rPr>
          <w:sz w:val="24"/>
          <w:szCs w:val="24"/>
        </w:rPr>
        <w:t>）持有省校颁发的会计学专业指导教师资格证书。</w:t>
      </w:r>
    </w:p>
    <w:p w14:paraId="4200E2F6">
      <w:pPr>
        <w:spacing w:line="360" w:lineRule="auto"/>
        <w:ind w:firstLine="480" w:firstLineChars="200"/>
        <w:rPr>
          <w:sz w:val="24"/>
          <w:szCs w:val="24"/>
        </w:rPr>
      </w:pPr>
      <w:r>
        <w:rPr>
          <w:sz w:val="24"/>
          <w:szCs w:val="24"/>
        </w:rPr>
        <w:t>各教学点应严格按指导教师资格要求选聘符合条件的教师，并填报《</w:t>
      </w:r>
      <w:r>
        <w:rPr>
          <w:rFonts w:hint="eastAsia"/>
          <w:sz w:val="24"/>
          <w:szCs w:val="24"/>
        </w:rPr>
        <w:t>福建开放</w:t>
      </w:r>
      <w:r>
        <w:rPr>
          <w:sz w:val="24"/>
          <w:szCs w:val="24"/>
        </w:rPr>
        <w:t>大学社会实践指导教师申报表》报分校初审，经省校复审后，确定安排指导工作。</w:t>
      </w:r>
    </w:p>
    <w:p w14:paraId="370FD973">
      <w:pPr>
        <w:spacing w:line="360" w:lineRule="auto"/>
        <w:ind w:firstLine="562" w:firstLineChars="200"/>
        <w:rPr>
          <w:b/>
          <w:sz w:val="28"/>
          <w:szCs w:val="28"/>
        </w:rPr>
      </w:pPr>
      <w:r>
        <w:rPr>
          <w:rFonts w:hint="eastAsia"/>
          <w:b/>
          <w:sz w:val="28"/>
          <w:szCs w:val="28"/>
        </w:rPr>
        <w:t>4</w:t>
      </w:r>
      <w:r>
        <w:rPr>
          <w:b/>
          <w:sz w:val="28"/>
          <w:szCs w:val="28"/>
        </w:rPr>
        <w:t>.</w:t>
      </w:r>
      <w:r>
        <w:rPr>
          <w:rFonts w:hint="eastAsia"/>
          <w:b/>
          <w:sz w:val="28"/>
          <w:szCs w:val="28"/>
        </w:rPr>
        <w:t>模拟实验成绩及备份要求</w:t>
      </w:r>
    </w:p>
    <w:p w14:paraId="53D9C6C0">
      <w:pPr>
        <w:pStyle w:val="11"/>
        <w:spacing w:before="0" w:beforeAutospacing="0" w:after="0" w:afterAutospacing="0" w:line="360" w:lineRule="auto"/>
        <w:ind w:firstLine="450"/>
        <w:rPr>
          <w:rFonts w:ascii="ˎ̥" w:hAnsi="ˎ̥"/>
          <w:sz w:val="24"/>
          <w:szCs w:val="24"/>
        </w:rPr>
      </w:pPr>
      <w:r>
        <w:rPr>
          <w:rFonts w:hint="eastAsia"/>
          <w:color w:val="000000"/>
          <w:sz w:val="24"/>
          <w:szCs w:val="24"/>
        </w:rPr>
        <w:t>模拟实验成绩由分校负责在教务管理系统中录入，并将电子数据及文本成绩一份报省校考试中心。数据上报省校时间为当学期第十九周，未在规定时间上报则不予受理。</w:t>
      </w:r>
    </w:p>
    <w:p w14:paraId="7615E1B2">
      <w:pPr>
        <w:spacing w:line="360" w:lineRule="auto"/>
        <w:ind w:firstLine="480" w:firstLineChars="200"/>
        <w:rPr>
          <w:sz w:val="24"/>
          <w:szCs w:val="24"/>
        </w:rPr>
      </w:pPr>
      <w:r>
        <w:rPr>
          <w:rFonts w:hint="eastAsia"/>
          <w:sz w:val="24"/>
          <w:szCs w:val="24"/>
        </w:rPr>
        <w:t>各教学点必须按要求将课程实验过程及成绩进行备份，并以班级为单位存储保管，以备国家开放大学和省开大的不定期检查。</w:t>
      </w:r>
    </w:p>
    <w:p w14:paraId="40807076">
      <w:pPr>
        <w:spacing w:line="360" w:lineRule="auto"/>
        <w:ind w:firstLine="562" w:firstLineChars="200"/>
        <w:rPr>
          <w:sz w:val="28"/>
          <w:szCs w:val="28"/>
        </w:rPr>
      </w:pPr>
      <w:r>
        <w:rPr>
          <w:rFonts w:hint="eastAsia"/>
          <w:b/>
          <w:bCs/>
          <w:sz w:val="28"/>
          <w:szCs w:val="28"/>
        </w:rPr>
        <w:t>5</w:t>
      </w:r>
      <w:r>
        <w:rPr>
          <w:b/>
          <w:bCs/>
          <w:sz w:val="28"/>
          <w:szCs w:val="28"/>
        </w:rPr>
        <w:t>.考核与成绩评定</w:t>
      </w:r>
    </w:p>
    <w:p w14:paraId="1A673004">
      <w:pPr>
        <w:spacing w:line="360" w:lineRule="auto"/>
        <w:ind w:firstLine="480" w:firstLineChars="200"/>
        <w:rPr>
          <w:sz w:val="24"/>
          <w:szCs w:val="24"/>
        </w:rPr>
      </w:pPr>
      <w:r>
        <w:rPr>
          <w:rFonts w:hint="eastAsia"/>
          <w:sz w:val="24"/>
          <w:szCs w:val="24"/>
        </w:rPr>
        <w:t>（1</w:t>
      </w:r>
      <w:r>
        <w:rPr>
          <w:sz w:val="24"/>
          <w:szCs w:val="24"/>
        </w:rPr>
        <w:t>）考核内容</w:t>
      </w:r>
    </w:p>
    <w:p w14:paraId="03A9D86E">
      <w:pPr>
        <w:spacing w:line="360" w:lineRule="auto"/>
        <w:ind w:firstLine="480" w:firstLineChars="200"/>
        <w:rPr>
          <w:sz w:val="24"/>
          <w:szCs w:val="24"/>
        </w:rPr>
      </w:pPr>
      <w:r>
        <w:rPr>
          <w:sz w:val="24"/>
          <w:szCs w:val="24"/>
        </w:rPr>
        <w:t>由模拟实验软件自动生成。考核内容要求包含：合并报表、财务分析、管理决策和审计等模块的相关内容，题量适当，时间不得少于</w:t>
      </w:r>
      <w:r>
        <w:rPr>
          <w:rFonts w:hint="eastAsia"/>
          <w:sz w:val="24"/>
          <w:szCs w:val="24"/>
        </w:rPr>
        <w:t>1 小时。</w:t>
      </w:r>
    </w:p>
    <w:p w14:paraId="25E0B8AC">
      <w:pPr>
        <w:spacing w:line="360" w:lineRule="auto"/>
        <w:ind w:firstLine="480" w:firstLineChars="200"/>
        <w:rPr>
          <w:sz w:val="24"/>
          <w:szCs w:val="24"/>
        </w:rPr>
      </w:pPr>
      <w:r>
        <w:rPr>
          <w:rFonts w:hint="eastAsia"/>
          <w:sz w:val="24"/>
          <w:szCs w:val="24"/>
        </w:rPr>
        <w:t>（2</w:t>
      </w:r>
      <w:r>
        <w:rPr>
          <w:sz w:val="24"/>
          <w:szCs w:val="24"/>
        </w:rPr>
        <w:t>）考核标准</w:t>
      </w:r>
    </w:p>
    <w:p w14:paraId="3919679D">
      <w:pPr>
        <w:spacing w:line="360" w:lineRule="auto"/>
        <w:ind w:firstLine="480" w:firstLineChars="200"/>
        <w:rPr>
          <w:sz w:val="24"/>
          <w:szCs w:val="24"/>
        </w:rPr>
      </w:pPr>
      <w:r>
        <w:rPr>
          <w:sz w:val="24"/>
          <w:szCs w:val="24"/>
        </w:rPr>
        <w:t>模拟实验成绩</w:t>
      </w:r>
      <w:r>
        <w:rPr>
          <w:rFonts w:hint="eastAsia"/>
          <w:sz w:val="24"/>
          <w:szCs w:val="24"/>
        </w:rPr>
        <w:t>按百分制计算，6</w:t>
      </w:r>
      <w:r>
        <w:rPr>
          <w:sz w:val="24"/>
          <w:szCs w:val="24"/>
        </w:rPr>
        <w:t>0</w:t>
      </w:r>
      <w:r>
        <w:rPr>
          <w:rFonts w:hint="eastAsia"/>
          <w:sz w:val="24"/>
          <w:szCs w:val="24"/>
        </w:rPr>
        <w:t>分为及格，6</w:t>
      </w:r>
      <w:r>
        <w:rPr>
          <w:sz w:val="24"/>
          <w:szCs w:val="24"/>
        </w:rPr>
        <w:t>0</w:t>
      </w:r>
      <w:r>
        <w:rPr>
          <w:rFonts w:hint="eastAsia"/>
          <w:sz w:val="24"/>
          <w:szCs w:val="24"/>
        </w:rPr>
        <w:t>分以下不及格</w:t>
      </w:r>
      <w:r>
        <w:rPr>
          <w:sz w:val="24"/>
          <w:szCs w:val="24"/>
        </w:rPr>
        <w:t>。</w:t>
      </w:r>
    </w:p>
    <w:p w14:paraId="1EA8D6AB">
      <w:pPr>
        <w:spacing w:line="360" w:lineRule="auto"/>
        <w:ind w:firstLine="480" w:firstLineChars="200"/>
        <w:rPr>
          <w:sz w:val="24"/>
          <w:szCs w:val="24"/>
        </w:rPr>
      </w:pPr>
      <w:r>
        <w:rPr>
          <w:rFonts w:hint="eastAsia"/>
          <w:sz w:val="24"/>
          <w:szCs w:val="24"/>
        </w:rPr>
        <w:t>（3</w:t>
      </w:r>
      <w:r>
        <w:rPr>
          <w:sz w:val="24"/>
          <w:szCs w:val="24"/>
        </w:rPr>
        <w:t>）成绩评定办法</w:t>
      </w:r>
    </w:p>
    <w:p w14:paraId="4E400F6C">
      <w:pPr>
        <w:spacing w:line="360" w:lineRule="auto"/>
        <w:ind w:firstLine="480" w:firstLineChars="200"/>
        <w:rPr>
          <w:sz w:val="24"/>
          <w:szCs w:val="24"/>
        </w:rPr>
      </w:pPr>
      <w:r>
        <w:rPr>
          <w:sz w:val="24"/>
          <w:szCs w:val="24"/>
        </w:rPr>
        <w:t>模拟实验由软件自动判卷，生成成绩。并由教学点进行成绩汇总，省级电大验收终审。</w:t>
      </w:r>
    </w:p>
    <w:p w14:paraId="0A9C9002">
      <w:pPr>
        <w:spacing w:line="360" w:lineRule="auto"/>
        <w:ind w:firstLine="480" w:firstLineChars="200"/>
        <w:rPr>
          <w:sz w:val="24"/>
          <w:szCs w:val="24"/>
        </w:rPr>
      </w:pPr>
      <w:r>
        <w:rPr>
          <w:sz w:val="24"/>
          <w:szCs w:val="24"/>
        </w:rPr>
        <w:t>模拟实验经审核合格后给予3学分。没有参加模拟实验者或未完成实验教学时数者不计学分。</w:t>
      </w:r>
    </w:p>
    <w:p w14:paraId="334D542D">
      <w:pPr>
        <w:spacing w:line="360" w:lineRule="auto"/>
        <w:ind w:firstLine="562" w:firstLineChars="200"/>
        <w:rPr>
          <w:rFonts w:ascii="黑体" w:hAnsi="黑体" w:eastAsia="黑体"/>
          <w:b/>
          <w:sz w:val="28"/>
          <w:szCs w:val="28"/>
        </w:rPr>
      </w:pPr>
      <w:r>
        <w:rPr>
          <w:rFonts w:hint="eastAsia" w:ascii="黑体" w:hAnsi="黑体" w:eastAsia="黑体"/>
          <w:b/>
          <w:sz w:val="28"/>
          <w:szCs w:val="28"/>
        </w:rPr>
        <w:t>二、实验的教学安排说明</w:t>
      </w:r>
    </w:p>
    <w:p w14:paraId="38A305B5">
      <w:pPr>
        <w:spacing w:line="360" w:lineRule="auto"/>
        <w:ind w:firstLine="480" w:firstLineChars="200"/>
        <w:rPr>
          <w:sz w:val="24"/>
          <w:szCs w:val="24"/>
        </w:rPr>
      </w:pPr>
      <w:r>
        <w:rPr>
          <w:sz w:val="24"/>
          <w:szCs w:val="24"/>
        </w:rPr>
        <w:t>会计管理模拟实验作为会计学本科专业</w:t>
      </w:r>
      <w:r>
        <w:rPr>
          <w:rFonts w:hint="eastAsia"/>
          <w:sz w:val="24"/>
          <w:szCs w:val="24"/>
        </w:rPr>
        <w:t>综合</w:t>
      </w:r>
      <w:r>
        <w:rPr>
          <w:sz w:val="24"/>
          <w:szCs w:val="24"/>
        </w:rPr>
        <w:t>实践环节的具体教学内容，是学生的必修环节，不得免修。凡已修本专业课程学分达到全部课程总学分60%以上的学生，均可参加模拟实验实践教学。会计管理模拟实验教学工作一般在第五学期安排。由于开放教育滚动开课，对于提前修完规定学分的学生，也可以考虑提前安排。会计管理模拟实验教学工作必须配备具有一定资格要求的一定数量的指导教师。学生应在指导教师指导下，认真完成模拟实验任务。会计管理模拟实验教学工作不应少于三周。</w:t>
      </w:r>
    </w:p>
    <w:p w14:paraId="611ED5E8">
      <w:pPr>
        <w:spacing w:line="360" w:lineRule="auto"/>
        <w:ind w:firstLine="480" w:firstLineChars="200"/>
        <w:rPr>
          <w:sz w:val="24"/>
          <w:szCs w:val="24"/>
        </w:rPr>
      </w:pPr>
      <w:r>
        <w:rPr>
          <w:rFonts w:hint="eastAsia"/>
          <w:sz w:val="24"/>
          <w:szCs w:val="24"/>
        </w:rPr>
        <w:t>实验学时安排如下：</w:t>
      </w:r>
    </w:p>
    <w:tbl>
      <w:tblPr>
        <w:tblStyle w:val="12"/>
        <w:tblW w:w="4789" w:type="pct"/>
        <w:jc w:val="center"/>
        <w:tblCellSpacing w:w="7" w:type="dxa"/>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Layout w:type="autofit"/>
        <w:tblCellMar>
          <w:top w:w="30" w:type="dxa"/>
          <w:left w:w="30" w:type="dxa"/>
          <w:bottom w:w="30" w:type="dxa"/>
          <w:right w:w="30" w:type="dxa"/>
        </w:tblCellMar>
      </w:tblPr>
      <w:tblGrid>
        <w:gridCol w:w="2363"/>
        <w:gridCol w:w="4043"/>
        <w:gridCol w:w="59"/>
        <w:gridCol w:w="1604"/>
      </w:tblGrid>
      <w:tr w14:paraId="57593F2F">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3991" w:type="pct"/>
            <w:gridSpan w:val="3"/>
            <w:tcBorders>
              <w:top w:val="single" w:color="47659B" w:sz="6" w:space="0"/>
              <w:left w:val="single" w:color="47659B" w:sz="6" w:space="0"/>
              <w:bottom w:val="single" w:color="47659B" w:sz="6" w:space="0"/>
              <w:right w:val="single" w:color="47659B" w:sz="6" w:space="0"/>
            </w:tcBorders>
            <w:shd w:val="clear" w:color="auto" w:fill="ECF4FF"/>
            <w:vAlign w:val="center"/>
          </w:tcPr>
          <w:p w14:paraId="7701075C">
            <w:pPr>
              <w:spacing w:line="360" w:lineRule="auto"/>
              <w:ind w:firstLine="482" w:firstLineChars="200"/>
              <w:rPr>
                <w:b/>
                <w:bCs/>
                <w:sz w:val="24"/>
                <w:szCs w:val="24"/>
              </w:rPr>
            </w:pPr>
            <w:r>
              <w:rPr>
                <w:rFonts w:hint="eastAsia"/>
                <w:b/>
                <w:bCs/>
                <w:sz w:val="24"/>
                <w:szCs w:val="24"/>
              </w:rPr>
              <w:t>实验内容</w:t>
            </w:r>
          </w:p>
        </w:tc>
        <w:tc>
          <w:tcPr>
            <w:tcW w:w="983" w:type="pct"/>
            <w:tcBorders>
              <w:top w:val="single" w:color="47659B" w:sz="6" w:space="0"/>
              <w:left w:val="single" w:color="47659B" w:sz="6" w:space="0"/>
              <w:bottom w:val="single" w:color="47659B" w:sz="6" w:space="0"/>
              <w:right w:val="single" w:color="47659B" w:sz="6" w:space="0"/>
            </w:tcBorders>
            <w:shd w:val="clear" w:color="auto" w:fill="ECF4FF"/>
            <w:vAlign w:val="center"/>
          </w:tcPr>
          <w:p w14:paraId="7D844BB4">
            <w:pPr>
              <w:spacing w:line="360" w:lineRule="auto"/>
              <w:rPr>
                <w:b/>
                <w:bCs/>
                <w:sz w:val="24"/>
                <w:szCs w:val="24"/>
              </w:rPr>
            </w:pPr>
            <w:r>
              <w:rPr>
                <w:rFonts w:hint="eastAsia"/>
                <w:b/>
                <w:bCs/>
                <w:sz w:val="24"/>
                <w:szCs w:val="24"/>
              </w:rPr>
              <w:t>学时分配</w:t>
            </w:r>
          </w:p>
        </w:tc>
      </w:tr>
      <w:tr w14:paraId="3F870377">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1454" w:type="pct"/>
            <w:vMerge w:val="restart"/>
            <w:tcBorders>
              <w:top w:val="single" w:color="47659B" w:sz="6" w:space="0"/>
              <w:left w:val="single" w:color="47659B" w:sz="6" w:space="0"/>
              <w:bottom w:val="single" w:color="47659B" w:sz="6" w:space="0"/>
              <w:right w:val="single" w:color="47659B" w:sz="6" w:space="0"/>
            </w:tcBorders>
            <w:shd w:val="clear" w:color="auto" w:fill="FFFFFF"/>
            <w:vAlign w:val="center"/>
          </w:tcPr>
          <w:p w14:paraId="15D9E596">
            <w:pPr>
              <w:spacing w:line="360" w:lineRule="auto"/>
              <w:ind w:firstLine="480" w:firstLineChars="200"/>
              <w:rPr>
                <w:sz w:val="24"/>
                <w:szCs w:val="24"/>
              </w:rPr>
            </w:pPr>
            <w:r>
              <w:rPr>
                <w:rFonts w:hint="eastAsia"/>
                <w:sz w:val="24"/>
                <w:szCs w:val="24"/>
              </w:rPr>
              <w:t>合并报表（</w:t>
            </w:r>
            <w:r>
              <w:rPr>
                <w:sz w:val="24"/>
                <w:szCs w:val="24"/>
              </w:rPr>
              <w:t>15</w:t>
            </w:r>
            <w:r>
              <w:rPr>
                <w:rFonts w:hint="eastAsia"/>
                <w:sz w:val="24"/>
                <w:szCs w:val="24"/>
              </w:rPr>
              <w:t>）</w:t>
            </w:r>
          </w:p>
        </w:tc>
        <w:tc>
          <w:tcPr>
            <w:tcW w:w="2528"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63497A77">
            <w:pPr>
              <w:spacing w:line="360" w:lineRule="auto"/>
              <w:ind w:firstLine="480" w:firstLineChars="200"/>
              <w:rPr>
                <w:sz w:val="24"/>
                <w:szCs w:val="24"/>
              </w:rPr>
            </w:pPr>
            <w:r>
              <w:rPr>
                <w:rFonts w:hint="eastAsia"/>
                <w:sz w:val="24"/>
                <w:szCs w:val="24"/>
              </w:rPr>
              <w:t>合并报表调整、抵销分录</w:t>
            </w:r>
          </w:p>
        </w:tc>
        <w:tc>
          <w:tcPr>
            <w:tcW w:w="983"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14EC124E">
            <w:pPr>
              <w:spacing w:line="360" w:lineRule="auto"/>
              <w:ind w:firstLine="480" w:firstLineChars="200"/>
              <w:rPr>
                <w:sz w:val="24"/>
                <w:szCs w:val="24"/>
              </w:rPr>
            </w:pPr>
            <w:r>
              <w:rPr>
                <w:sz w:val="24"/>
                <w:szCs w:val="24"/>
              </w:rPr>
              <w:t>3</w:t>
            </w:r>
          </w:p>
        </w:tc>
      </w:tr>
      <w:tr w14:paraId="64BE4726">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1454" w:type="pct"/>
            <w:vMerge w:val="continue"/>
            <w:tcBorders>
              <w:top w:val="single" w:color="47659B" w:sz="6" w:space="0"/>
              <w:left w:val="single" w:color="47659B" w:sz="6" w:space="0"/>
              <w:bottom w:val="single" w:color="47659B" w:sz="6" w:space="0"/>
              <w:right w:val="single" w:color="47659B" w:sz="6" w:space="0"/>
            </w:tcBorders>
            <w:shd w:val="clear" w:color="auto" w:fill="FFFFFF"/>
            <w:vAlign w:val="center"/>
          </w:tcPr>
          <w:p w14:paraId="399CD0DC">
            <w:pPr>
              <w:spacing w:line="360" w:lineRule="auto"/>
              <w:ind w:firstLine="480" w:firstLineChars="200"/>
              <w:rPr>
                <w:sz w:val="24"/>
                <w:szCs w:val="24"/>
              </w:rPr>
            </w:pPr>
          </w:p>
        </w:tc>
        <w:tc>
          <w:tcPr>
            <w:tcW w:w="2528"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50055F96">
            <w:pPr>
              <w:spacing w:line="360" w:lineRule="auto"/>
              <w:ind w:firstLine="480" w:firstLineChars="200"/>
              <w:rPr>
                <w:sz w:val="24"/>
                <w:szCs w:val="24"/>
              </w:rPr>
            </w:pPr>
            <w:r>
              <w:rPr>
                <w:rFonts w:hint="eastAsia"/>
                <w:sz w:val="24"/>
                <w:szCs w:val="24"/>
              </w:rPr>
              <w:t>调整、抵销分录汇总表</w:t>
            </w:r>
          </w:p>
        </w:tc>
        <w:tc>
          <w:tcPr>
            <w:tcW w:w="983"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7930EB42">
            <w:pPr>
              <w:spacing w:line="360" w:lineRule="auto"/>
              <w:ind w:firstLine="480" w:firstLineChars="200"/>
              <w:rPr>
                <w:sz w:val="24"/>
                <w:szCs w:val="24"/>
              </w:rPr>
            </w:pPr>
            <w:r>
              <w:rPr>
                <w:sz w:val="24"/>
                <w:szCs w:val="24"/>
              </w:rPr>
              <w:t>2</w:t>
            </w:r>
          </w:p>
        </w:tc>
      </w:tr>
      <w:tr w14:paraId="18C2FF8E">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tblCellMar>
            <w:top w:w="30" w:type="dxa"/>
            <w:left w:w="30" w:type="dxa"/>
            <w:bottom w:w="30" w:type="dxa"/>
            <w:right w:w="30" w:type="dxa"/>
          </w:tblCellMar>
        </w:tblPrEx>
        <w:trPr>
          <w:tblCellSpacing w:w="7" w:type="dxa"/>
          <w:jc w:val="center"/>
        </w:trPr>
        <w:tc>
          <w:tcPr>
            <w:tcW w:w="1454" w:type="pct"/>
            <w:vMerge w:val="continue"/>
            <w:tcBorders>
              <w:top w:val="single" w:color="47659B" w:sz="6" w:space="0"/>
              <w:left w:val="single" w:color="47659B" w:sz="6" w:space="0"/>
              <w:bottom w:val="single" w:color="47659B" w:sz="6" w:space="0"/>
              <w:right w:val="single" w:color="47659B" w:sz="6" w:space="0"/>
            </w:tcBorders>
            <w:shd w:val="clear" w:color="auto" w:fill="FFFFFF"/>
            <w:vAlign w:val="center"/>
          </w:tcPr>
          <w:p w14:paraId="72BC6687">
            <w:pPr>
              <w:spacing w:line="360" w:lineRule="auto"/>
              <w:ind w:firstLine="480" w:firstLineChars="200"/>
              <w:rPr>
                <w:sz w:val="24"/>
                <w:szCs w:val="24"/>
              </w:rPr>
            </w:pPr>
          </w:p>
        </w:tc>
        <w:tc>
          <w:tcPr>
            <w:tcW w:w="2528"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40B62E32">
            <w:pPr>
              <w:spacing w:line="360" w:lineRule="auto"/>
              <w:ind w:firstLine="480" w:firstLineChars="200"/>
              <w:rPr>
                <w:sz w:val="24"/>
                <w:szCs w:val="24"/>
              </w:rPr>
            </w:pPr>
            <w:r>
              <w:rPr>
                <w:rFonts w:hint="eastAsia"/>
                <w:sz w:val="24"/>
                <w:szCs w:val="24"/>
              </w:rPr>
              <w:t>合并报表工作底稿</w:t>
            </w:r>
          </w:p>
        </w:tc>
        <w:tc>
          <w:tcPr>
            <w:tcW w:w="983"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28171666">
            <w:pPr>
              <w:spacing w:line="360" w:lineRule="auto"/>
              <w:ind w:firstLine="480" w:firstLineChars="200"/>
              <w:rPr>
                <w:sz w:val="24"/>
                <w:szCs w:val="24"/>
              </w:rPr>
            </w:pPr>
            <w:r>
              <w:rPr>
                <w:sz w:val="24"/>
                <w:szCs w:val="24"/>
              </w:rPr>
              <w:t>2</w:t>
            </w:r>
          </w:p>
        </w:tc>
      </w:tr>
      <w:tr w14:paraId="5B67ED73">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1454" w:type="pct"/>
            <w:vMerge w:val="continue"/>
            <w:tcBorders>
              <w:top w:val="single" w:color="47659B" w:sz="6" w:space="0"/>
              <w:left w:val="single" w:color="47659B" w:sz="6" w:space="0"/>
              <w:bottom w:val="single" w:color="47659B" w:sz="6" w:space="0"/>
              <w:right w:val="single" w:color="47659B" w:sz="6" w:space="0"/>
            </w:tcBorders>
            <w:shd w:val="clear" w:color="auto" w:fill="FFFFFF"/>
            <w:vAlign w:val="center"/>
          </w:tcPr>
          <w:p w14:paraId="0BD29C6B">
            <w:pPr>
              <w:spacing w:line="360" w:lineRule="auto"/>
              <w:ind w:firstLine="480" w:firstLineChars="200"/>
              <w:rPr>
                <w:sz w:val="24"/>
                <w:szCs w:val="24"/>
              </w:rPr>
            </w:pPr>
          </w:p>
        </w:tc>
        <w:tc>
          <w:tcPr>
            <w:tcW w:w="2528"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29C76055">
            <w:pPr>
              <w:spacing w:line="360" w:lineRule="auto"/>
              <w:ind w:firstLine="480" w:firstLineChars="200"/>
              <w:rPr>
                <w:sz w:val="24"/>
                <w:szCs w:val="24"/>
              </w:rPr>
            </w:pPr>
            <w:r>
              <w:rPr>
                <w:rFonts w:hint="eastAsia"/>
                <w:sz w:val="24"/>
                <w:szCs w:val="24"/>
              </w:rPr>
              <w:t>合并资产负债表</w:t>
            </w:r>
          </w:p>
        </w:tc>
        <w:tc>
          <w:tcPr>
            <w:tcW w:w="983"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60C75DD7">
            <w:pPr>
              <w:spacing w:line="360" w:lineRule="auto"/>
              <w:ind w:firstLine="480" w:firstLineChars="200"/>
              <w:rPr>
                <w:sz w:val="24"/>
                <w:szCs w:val="24"/>
              </w:rPr>
            </w:pPr>
            <w:r>
              <w:rPr>
                <w:rFonts w:hint="eastAsia"/>
                <w:sz w:val="24"/>
                <w:szCs w:val="24"/>
              </w:rPr>
              <w:t>2</w:t>
            </w:r>
          </w:p>
        </w:tc>
      </w:tr>
      <w:tr w14:paraId="75A53868">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tblCellMar>
            <w:top w:w="30" w:type="dxa"/>
            <w:left w:w="30" w:type="dxa"/>
            <w:bottom w:w="30" w:type="dxa"/>
            <w:right w:w="30" w:type="dxa"/>
          </w:tblCellMar>
        </w:tblPrEx>
        <w:trPr>
          <w:tblCellSpacing w:w="7" w:type="dxa"/>
          <w:jc w:val="center"/>
        </w:trPr>
        <w:tc>
          <w:tcPr>
            <w:tcW w:w="1454" w:type="pct"/>
            <w:vMerge w:val="continue"/>
            <w:tcBorders>
              <w:top w:val="single" w:color="47659B" w:sz="6" w:space="0"/>
              <w:left w:val="single" w:color="47659B" w:sz="6" w:space="0"/>
              <w:bottom w:val="single" w:color="47659B" w:sz="6" w:space="0"/>
              <w:right w:val="single" w:color="47659B" w:sz="6" w:space="0"/>
            </w:tcBorders>
            <w:shd w:val="clear" w:color="auto" w:fill="FFFFFF"/>
            <w:vAlign w:val="center"/>
          </w:tcPr>
          <w:p w14:paraId="3D0D47A5">
            <w:pPr>
              <w:spacing w:line="360" w:lineRule="auto"/>
              <w:ind w:firstLine="480" w:firstLineChars="200"/>
              <w:rPr>
                <w:sz w:val="24"/>
                <w:szCs w:val="24"/>
              </w:rPr>
            </w:pPr>
          </w:p>
        </w:tc>
        <w:tc>
          <w:tcPr>
            <w:tcW w:w="2528"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418249E0">
            <w:pPr>
              <w:spacing w:line="360" w:lineRule="auto"/>
              <w:ind w:firstLine="480" w:firstLineChars="200"/>
              <w:rPr>
                <w:sz w:val="24"/>
                <w:szCs w:val="24"/>
              </w:rPr>
            </w:pPr>
            <w:r>
              <w:rPr>
                <w:rFonts w:hint="eastAsia"/>
                <w:sz w:val="24"/>
                <w:szCs w:val="24"/>
              </w:rPr>
              <w:t>合并利润表</w:t>
            </w:r>
          </w:p>
        </w:tc>
        <w:tc>
          <w:tcPr>
            <w:tcW w:w="983"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3E58F469">
            <w:pPr>
              <w:spacing w:line="360" w:lineRule="auto"/>
              <w:ind w:firstLine="480" w:firstLineChars="200"/>
              <w:rPr>
                <w:sz w:val="24"/>
                <w:szCs w:val="24"/>
              </w:rPr>
            </w:pPr>
            <w:r>
              <w:rPr>
                <w:rFonts w:hint="eastAsia"/>
                <w:sz w:val="24"/>
                <w:szCs w:val="24"/>
              </w:rPr>
              <w:t>2</w:t>
            </w:r>
          </w:p>
        </w:tc>
      </w:tr>
      <w:tr w14:paraId="6721C892">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1454" w:type="pct"/>
            <w:vMerge w:val="continue"/>
            <w:tcBorders>
              <w:top w:val="single" w:color="47659B" w:sz="6" w:space="0"/>
              <w:left w:val="single" w:color="47659B" w:sz="6" w:space="0"/>
              <w:bottom w:val="single" w:color="47659B" w:sz="6" w:space="0"/>
              <w:right w:val="single" w:color="47659B" w:sz="6" w:space="0"/>
            </w:tcBorders>
            <w:shd w:val="clear" w:color="auto" w:fill="FFFFFF"/>
            <w:vAlign w:val="center"/>
          </w:tcPr>
          <w:p w14:paraId="5E71ECEF">
            <w:pPr>
              <w:spacing w:line="360" w:lineRule="auto"/>
              <w:ind w:firstLine="480" w:firstLineChars="200"/>
              <w:rPr>
                <w:sz w:val="24"/>
                <w:szCs w:val="24"/>
              </w:rPr>
            </w:pPr>
          </w:p>
        </w:tc>
        <w:tc>
          <w:tcPr>
            <w:tcW w:w="2528"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539B701A">
            <w:pPr>
              <w:spacing w:line="360" w:lineRule="auto"/>
              <w:ind w:firstLine="480" w:firstLineChars="200"/>
              <w:rPr>
                <w:sz w:val="24"/>
                <w:szCs w:val="24"/>
              </w:rPr>
            </w:pPr>
            <w:r>
              <w:rPr>
                <w:rFonts w:hint="eastAsia"/>
                <w:sz w:val="24"/>
                <w:szCs w:val="24"/>
              </w:rPr>
              <w:t>合并所有者权益变动表</w:t>
            </w:r>
          </w:p>
        </w:tc>
        <w:tc>
          <w:tcPr>
            <w:tcW w:w="983"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0D288923">
            <w:pPr>
              <w:spacing w:line="360" w:lineRule="auto"/>
              <w:ind w:firstLine="480" w:firstLineChars="200"/>
              <w:rPr>
                <w:sz w:val="24"/>
                <w:szCs w:val="24"/>
              </w:rPr>
            </w:pPr>
            <w:r>
              <w:rPr>
                <w:rFonts w:hint="eastAsia"/>
                <w:sz w:val="24"/>
                <w:szCs w:val="24"/>
              </w:rPr>
              <w:t>2</w:t>
            </w:r>
          </w:p>
        </w:tc>
      </w:tr>
      <w:tr w14:paraId="7BF2C24E">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tblCellMar>
            <w:top w:w="30" w:type="dxa"/>
            <w:left w:w="30" w:type="dxa"/>
            <w:bottom w:w="30" w:type="dxa"/>
            <w:right w:w="30" w:type="dxa"/>
          </w:tblCellMar>
        </w:tblPrEx>
        <w:trPr>
          <w:tblCellSpacing w:w="7" w:type="dxa"/>
          <w:jc w:val="center"/>
        </w:trPr>
        <w:tc>
          <w:tcPr>
            <w:tcW w:w="1454" w:type="pct"/>
            <w:vMerge w:val="continue"/>
            <w:tcBorders>
              <w:top w:val="single" w:color="47659B" w:sz="6" w:space="0"/>
              <w:left w:val="single" w:color="47659B" w:sz="6" w:space="0"/>
              <w:bottom w:val="single" w:color="47659B" w:sz="6" w:space="0"/>
              <w:right w:val="single" w:color="47659B" w:sz="6" w:space="0"/>
            </w:tcBorders>
            <w:shd w:val="clear" w:color="auto" w:fill="FFFFFF"/>
            <w:vAlign w:val="center"/>
          </w:tcPr>
          <w:p w14:paraId="16188679">
            <w:pPr>
              <w:spacing w:line="360" w:lineRule="auto"/>
              <w:ind w:firstLine="480" w:firstLineChars="200"/>
              <w:rPr>
                <w:sz w:val="24"/>
                <w:szCs w:val="24"/>
              </w:rPr>
            </w:pPr>
          </w:p>
        </w:tc>
        <w:tc>
          <w:tcPr>
            <w:tcW w:w="2528"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45EB85FB">
            <w:pPr>
              <w:spacing w:line="360" w:lineRule="auto"/>
              <w:ind w:firstLine="480" w:firstLineChars="200"/>
              <w:rPr>
                <w:sz w:val="24"/>
                <w:szCs w:val="24"/>
              </w:rPr>
            </w:pPr>
            <w:r>
              <w:rPr>
                <w:rFonts w:hint="eastAsia"/>
                <w:sz w:val="24"/>
                <w:szCs w:val="24"/>
              </w:rPr>
              <w:t>合并现金流量表</w:t>
            </w:r>
          </w:p>
        </w:tc>
        <w:tc>
          <w:tcPr>
            <w:tcW w:w="983"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777FC699">
            <w:pPr>
              <w:spacing w:line="360" w:lineRule="auto"/>
              <w:ind w:firstLine="480" w:firstLineChars="200"/>
              <w:rPr>
                <w:sz w:val="24"/>
                <w:szCs w:val="24"/>
              </w:rPr>
            </w:pPr>
            <w:r>
              <w:rPr>
                <w:rFonts w:hint="eastAsia"/>
                <w:sz w:val="24"/>
                <w:szCs w:val="24"/>
              </w:rPr>
              <w:t>2</w:t>
            </w:r>
          </w:p>
        </w:tc>
      </w:tr>
      <w:tr w14:paraId="619C4D6E">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1454" w:type="pct"/>
            <w:vMerge w:val="restart"/>
            <w:tcBorders>
              <w:top w:val="single" w:color="47659B" w:sz="6" w:space="0"/>
              <w:left w:val="single" w:color="47659B" w:sz="6" w:space="0"/>
              <w:right w:val="single" w:color="47659B" w:sz="6" w:space="0"/>
            </w:tcBorders>
            <w:shd w:val="clear" w:color="auto" w:fill="FFFFFF"/>
            <w:vAlign w:val="center"/>
          </w:tcPr>
          <w:p w14:paraId="2B152BBD">
            <w:pPr>
              <w:spacing w:line="360" w:lineRule="auto"/>
              <w:ind w:firstLine="480" w:firstLineChars="200"/>
              <w:rPr>
                <w:sz w:val="24"/>
                <w:szCs w:val="24"/>
              </w:rPr>
            </w:pPr>
            <w:r>
              <w:rPr>
                <w:rFonts w:hint="eastAsia"/>
                <w:sz w:val="24"/>
                <w:szCs w:val="24"/>
              </w:rPr>
              <w:t>财务分析（10）</w:t>
            </w:r>
          </w:p>
        </w:tc>
        <w:tc>
          <w:tcPr>
            <w:tcW w:w="2528"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663BBFCF">
            <w:pPr>
              <w:spacing w:line="360" w:lineRule="auto"/>
              <w:ind w:firstLine="480" w:firstLineChars="200"/>
              <w:rPr>
                <w:sz w:val="24"/>
                <w:szCs w:val="24"/>
              </w:rPr>
            </w:pPr>
            <w:r>
              <w:rPr>
                <w:rFonts w:hint="eastAsia"/>
                <w:sz w:val="24"/>
                <w:szCs w:val="24"/>
              </w:rPr>
              <w:t>资产负债表结构分析</w:t>
            </w:r>
          </w:p>
        </w:tc>
        <w:tc>
          <w:tcPr>
            <w:tcW w:w="983"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1D3A5359">
            <w:pPr>
              <w:spacing w:line="360" w:lineRule="auto"/>
              <w:ind w:firstLine="480" w:firstLineChars="200"/>
              <w:rPr>
                <w:sz w:val="24"/>
                <w:szCs w:val="24"/>
              </w:rPr>
            </w:pPr>
            <w:r>
              <w:rPr>
                <w:rFonts w:hint="eastAsia"/>
                <w:sz w:val="24"/>
                <w:szCs w:val="24"/>
              </w:rPr>
              <w:t>2</w:t>
            </w:r>
          </w:p>
        </w:tc>
      </w:tr>
      <w:tr w14:paraId="75DCCFA6">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1454" w:type="pct"/>
            <w:vMerge w:val="continue"/>
            <w:tcBorders>
              <w:left w:val="single" w:color="47659B" w:sz="6" w:space="0"/>
              <w:right w:val="single" w:color="47659B" w:sz="6" w:space="0"/>
            </w:tcBorders>
            <w:shd w:val="clear" w:color="auto" w:fill="FFFFFF"/>
            <w:vAlign w:val="center"/>
          </w:tcPr>
          <w:p w14:paraId="44535578">
            <w:pPr>
              <w:spacing w:line="360" w:lineRule="auto"/>
              <w:ind w:firstLine="480" w:firstLineChars="200"/>
              <w:rPr>
                <w:sz w:val="24"/>
                <w:szCs w:val="24"/>
              </w:rPr>
            </w:pPr>
          </w:p>
        </w:tc>
        <w:tc>
          <w:tcPr>
            <w:tcW w:w="2528"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4C02B4A2">
            <w:pPr>
              <w:spacing w:line="360" w:lineRule="auto"/>
              <w:ind w:firstLine="480" w:firstLineChars="200"/>
              <w:rPr>
                <w:sz w:val="24"/>
                <w:szCs w:val="24"/>
              </w:rPr>
            </w:pPr>
            <w:r>
              <w:rPr>
                <w:rFonts w:hint="eastAsia"/>
                <w:sz w:val="24"/>
                <w:szCs w:val="24"/>
              </w:rPr>
              <w:t>利润表结构分析</w:t>
            </w:r>
          </w:p>
        </w:tc>
        <w:tc>
          <w:tcPr>
            <w:tcW w:w="983"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1ED8951A">
            <w:pPr>
              <w:spacing w:line="360" w:lineRule="auto"/>
              <w:ind w:firstLine="480" w:firstLineChars="200"/>
              <w:rPr>
                <w:sz w:val="24"/>
                <w:szCs w:val="24"/>
              </w:rPr>
            </w:pPr>
            <w:r>
              <w:rPr>
                <w:rFonts w:hint="eastAsia"/>
                <w:sz w:val="24"/>
                <w:szCs w:val="24"/>
              </w:rPr>
              <w:t>1</w:t>
            </w:r>
          </w:p>
        </w:tc>
      </w:tr>
      <w:tr w14:paraId="7E0A0560">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tblCellMar>
            <w:top w:w="30" w:type="dxa"/>
            <w:left w:w="30" w:type="dxa"/>
            <w:bottom w:w="30" w:type="dxa"/>
            <w:right w:w="30" w:type="dxa"/>
          </w:tblCellMar>
        </w:tblPrEx>
        <w:trPr>
          <w:tblCellSpacing w:w="7" w:type="dxa"/>
          <w:jc w:val="center"/>
        </w:trPr>
        <w:tc>
          <w:tcPr>
            <w:tcW w:w="1454" w:type="pct"/>
            <w:vMerge w:val="continue"/>
            <w:tcBorders>
              <w:left w:val="single" w:color="47659B" w:sz="6" w:space="0"/>
              <w:right w:val="single" w:color="47659B" w:sz="6" w:space="0"/>
            </w:tcBorders>
            <w:shd w:val="clear" w:color="auto" w:fill="FFFFFF"/>
            <w:vAlign w:val="center"/>
          </w:tcPr>
          <w:p w14:paraId="3316FEE7">
            <w:pPr>
              <w:spacing w:line="360" w:lineRule="auto"/>
              <w:ind w:firstLine="480" w:firstLineChars="200"/>
              <w:rPr>
                <w:sz w:val="24"/>
                <w:szCs w:val="24"/>
              </w:rPr>
            </w:pPr>
          </w:p>
        </w:tc>
        <w:tc>
          <w:tcPr>
            <w:tcW w:w="2528"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143DB777">
            <w:pPr>
              <w:spacing w:line="360" w:lineRule="auto"/>
              <w:ind w:firstLine="480" w:firstLineChars="200"/>
              <w:rPr>
                <w:sz w:val="24"/>
                <w:szCs w:val="24"/>
              </w:rPr>
            </w:pPr>
            <w:r>
              <w:rPr>
                <w:rFonts w:hint="eastAsia"/>
                <w:sz w:val="24"/>
                <w:szCs w:val="24"/>
              </w:rPr>
              <w:t>现金流量表结构分析</w:t>
            </w:r>
          </w:p>
        </w:tc>
        <w:tc>
          <w:tcPr>
            <w:tcW w:w="983"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1EB41804">
            <w:pPr>
              <w:spacing w:line="360" w:lineRule="auto"/>
              <w:ind w:firstLine="480" w:firstLineChars="200"/>
              <w:rPr>
                <w:sz w:val="24"/>
                <w:szCs w:val="24"/>
              </w:rPr>
            </w:pPr>
            <w:r>
              <w:rPr>
                <w:rFonts w:hint="eastAsia"/>
                <w:sz w:val="24"/>
                <w:szCs w:val="24"/>
              </w:rPr>
              <w:t>2</w:t>
            </w:r>
          </w:p>
        </w:tc>
      </w:tr>
      <w:tr w14:paraId="1B032338">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tblCellMar>
            <w:top w:w="30" w:type="dxa"/>
            <w:left w:w="30" w:type="dxa"/>
            <w:bottom w:w="30" w:type="dxa"/>
            <w:right w:w="30" w:type="dxa"/>
          </w:tblCellMar>
        </w:tblPrEx>
        <w:trPr>
          <w:tblCellSpacing w:w="7" w:type="dxa"/>
          <w:jc w:val="center"/>
        </w:trPr>
        <w:tc>
          <w:tcPr>
            <w:tcW w:w="1454" w:type="pct"/>
            <w:vMerge w:val="continue"/>
            <w:tcBorders>
              <w:left w:val="single" w:color="47659B" w:sz="6" w:space="0"/>
              <w:right w:val="single" w:color="47659B" w:sz="6" w:space="0"/>
            </w:tcBorders>
            <w:shd w:val="clear" w:color="auto" w:fill="FFFFFF"/>
            <w:vAlign w:val="center"/>
          </w:tcPr>
          <w:p w14:paraId="617D2F5B">
            <w:pPr>
              <w:spacing w:line="360" w:lineRule="auto"/>
              <w:ind w:firstLine="480" w:firstLineChars="200"/>
              <w:rPr>
                <w:sz w:val="24"/>
                <w:szCs w:val="24"/>
              </w:rPr>
            </w:pPr>
          </w:p>
        </w:tc>
        <w:tc>
          <w:tcPr>
            <w:tcW w:w="2528"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1A8E9D16">
            <w:pPr>
              <w:spacing w:line="360" w:lineRule="auto"/>
              <w:ind w:firstLine="480" w:firstLineChars="200"/>
              <w:rPr>
                <w:sz w:val="24"/>
                <w:szCs w:val="24"/>
              </w:rPr>
            </w:pPr>
            <w:r>
              <w:rPr>
                <w:rFonts w:hint="eastAsia"/>
                <w:sz w:val="24"/>
                <w:szCs w:val="24"/>
              </w:rPr>
              <w:t>偿债能力分析</w:t>
            </w:r>
          </w:p>
        </w:tc>
        <w:tc>
          <w:tcPr>
            <w:tcW w:w="983"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6C2D2576">
            <w:pPr>
              <w:spacing w:line="360" w:lineRule="auto"/>
              <w:ind w:firstLine="480" w:firstLineChars="200"/>
              <w:rPr>
                <w:sz w:val="24"/>
                <w:szCs w:val="24"/>
              </w:rPr>
            </w:pPr>
            <w:r>
              <w:rPr>
                <w:rFonts w:hint="eastAsia"/>
                <w:sz w:val="24"/>
                <w:szCs w:val="24"/>
              </w:rPr>
              <w:t>1</w:t>
            </w:r>
          </w:p>
        </w:tc>
      </w:tr>
      <w:tr w14:paraId="44B86118">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tblCellMar>
            <w:top w:w="30" w:type="dxa"/>
            <w:left w:w="30" w:type="dxa"/>
            <w:bottom w:w="30" w:type="dxa"/>
            <w:right w:w="30" w:type="dxa"/>
          </w:tblCellMar>
        </w:tblPrEx>
        <w:trPr>
          <w:tblCellSpacing w:w="7" w:type="dxa"/>
          <w:jc w:val="center"/>
        </w:trPr>
        <w:tc>
          <w:tcPr>
            <w:tcW w:w="1454" w:type="pct"/>
            <w:vMerge w:val="continue"/>
            <w:tcBorders>
              <w:left w:val="single" w:color="47659B" w:sz="6" w:space="0"/>
              <w:right w:val="single" w:color="47659B" w:sz="6" w:space="0"/>
            </w:tcBorders>
            <w:shd w:val="clear" w:color="auto" w:fill="FFFFFF"/>
            <w:vAlign w:val="center"/>
          </w:tcPr>
          <w:p w14:paraId="626ADEDA">
            <w:pPr>
              <w:spacing w:line="360" w:lineRule="auto"/>
              <w:ind w:firstLine="480" w:firstLineChars="200"/>
              <w:rPr>
                <w:sz w:val="24"/>
                <w:szCs w:val="24"/>
              </w:rPr>
            </w:pPr>
          </w:p>
        </w:tc>
        <w:tc>
          <w:tcPr>
            <w:tcW w:w="2528"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38F44449">
            <w:pPr>
              <w:spacing w:line="360" w:lineRule="auto"/>
              <w:ind w:firstLine="480" w:firstLineChars="200"/>
              <w:rPr>
                <w:sz w:val="24"/>
                <w:szCs w:val="24"/>
              </w:rPr>
            </w:pPr>
            <w:r>
              <w:rPr>
                <w:rFonts w:hint="eastAsia"/>
                <w:sz w:val="24"/>
                <w:szCs w:val="24"/>
              </w:rPr>
              <w:t>营运能力分析</w:t>
            </w:r>
          </w:p>
        </w:tc>
        <w:tc>
          <w:tcPr>
            <w:tcW w:w="983"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0DEC7E5D">
            <w:pPr>
              <w:spacing w:line="360" w:lineRule="auto"/>
              <w:ind w:firstLine="480" w:firstLineChars="200"/>
              <w:rPr>
                <w:sz w:val="24"/>
                <w:szCs w:val="24"/>
              </w:rPr>
            </w:pPr>
            <w:r>
              <w:rPr>
                <w:rFonts w:hint="eastAsia"/>
                <w:sz w:val="24"/>
                <w:szCs w:val="24"/>
              </w:rPr>
              <w:t>1</w:t>
            </w:r>
          </w:p>
        </w:tc>
      </w:tr>
      <w:tr w14:paraId="2CA0802E">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tblCellMar>
            <w:top w:w="30" w:type="dxa"/>
            <w:left w:w="30" w:type="dxa"/>
            <w:bottom w:w="30" w:type="dxa"/>
            <w:right w:w="30" w:type="dxa"/>
          </w:tblCellMar>
        </w:tblPrEx>
        <w:trPr>
          <w:tblCellSpacing w:w="7" w:type="dxa"/>
          <w:jc w:val="center"/>
        </w:trPr>
        <w:tc>
          <w:tcPr>
            <w:tcW w:w="1454" w:type="pct"/>
            <w:vMerge w:val="continue"/>
            <w:tcBorders>
              <w:left w:val="single" w:color="47659B" w:sz="6" w:space="0"/>
              <w:right w:val="single" w:color="47659B" w:sz="6" w:space="0"/>
            </w:tcBorders>
            <w:shd w:val="clear" w:color="auto" w:fill="FFFFFF"/>
            <w:vAlign w:val="center"/>
          </w:tcPr>
          <w:p w14:paraId="7071AF1B">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54579365">
            <w:pPr>
              <w:spacing w:line="360" w:lineRule="auto"/>
              <w:ind w:firstLine="480" w:firstLineChars="200"/>
              <w:rPr>
                <w:sz w:val="24"/>
                <w:szCs w:val="24"/>
              </w:rPr>
            </w:pPr>
            <w:r>
              <w:rPr>
                <w:rFonts w:hint="eastAsia"/>
                <w:sz w:val="24"/>
                <w:szCs w:val="24"/>
              </w:rPr>
              <w:t>盈利能力分析</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3EBE7BCF">
            <w:pPr>
              <w:spacing w:line="360" w:lineRule="auto"/>
              <w:ind w:firstLine="480" w:firstLineChars="200"/>
              <w:rPr>
                <w:sz w:val="24"/>
                <w:szCs w:val="24"/>
              </w:rPr>
            </w:pPr>
            <w:r>
              <w:rPr>
                <w:rFonts w:hint="eastAsia"/>
                <w:sz w:val="24"/>
                <w:szCs w:val="24"/>
              </w:rPr>
              <w:t>1</w:t>
            </w:r>
          </w:p>
        </w:tc>
      </w:tr>
      <w:tr w14:paraId="1492A79A">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1454" w:type="pct"/>
            <w:vMerge w:val="continue"/>
            <w:tcBorders>
              <w:left w:val="single" w:color="47659B" w:sz="6" w:space="0"/>
              <w:right w:val="single" w:color="47659B" w:sz="6" w:space="0"/>
            </w:tcBorders>
            <w:shd w:val="clear" w:color="auto" w:fill="FFFFFF"/>
            <w:vAlign w:val="center"/>
          </w:tcPr>
          <w:p w14:paraId="24621F3B">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6354EEF3">
            <w:pPr>
              <w:spacing w:line="360" w:lineRule="auto"/>
              <w:ind w:firstLine="480" w:firstLineChars="200"/>
              <w:rPr>
                <w:sz w:val="24"/>
                <w:szCs w:val="24"/>
              </w:rPr>
            </w:pPr>
            <w:r>
              <w:rPr>
                <w:rFonts w:hint="eastAsia"/>
                <w:sz w:val="24"/>
                <w:szCs w:val="24"/>
              </w:rPr>
              <w:t>财务比率综合评分表</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4C5FDC49">
            <w:pPr>
              <w:spacing w:line="360" w:lineRule="auto"/>
              <w:ind w:firstLine="480" w:firstLineChars="200"/>
              <w:rPr>
                <w:sz w:val="24"/>
                <w:szCs w:val="24"/>
              </w:rPr>
            </w:pPr>
            <w:r>
              <w:rPr>
                <w:rFonts w:hint="eastAsia"/>
                <w:sz w:val="24"/>
                <w:szCs w:val="24"/>
              </w:rPr>
              <w:t>1</w:t>
            </w:r>
          </w:p>
        </w:tc>
      </w:tr>
      <w:tr w14:paraId="7334781D">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tblCellMar>
            <w:top w:w="30" w:type="dxa"/>
            <w:left w:w="30" w:type="dxa"/>
            <w:bottom w:w="30" w:type="dxa"/>
            <w:right w:w="30" w:type="dxa"/>
          </w:tblCellMar>
        </w:tblPrEx>
        <w:trPr>
          <w:tblCellSpacing w:w="7" w:type="dxa"/>
          <w:jc w:val="center"/>
        </w:trPr>
        <w:tc>
          <w:tcPr>
            <w:tcW w:w="1454" w:type="pct"/>
            <w:vMerge w:val="continue"/>
            <w:tcBorders>
              <w:left w:val="single" w:color="47659B" w:sz="6" w:space="0"/>
              <w:bottom w:val="single" w:color="47659B" w:sz="6" w:space="0"/>
              <w:right w:val="single" w:color="47659B" w:sz="6" w:space="0"/>
            </w:tcBorders>
            <w:shd w:val="clear" w:color="auto" w:fill="FFFFFF"/>
            <w:vAlign w:val="center"/>
          </w:tcPr>
          <w:p w14:paraId="59347292">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4C1C2AA6">
            <w:pPr>
              <w:spacing w:line="360" w:lineRule="auto"/>
              <w:ind w:firstLine="480" w:firstLineChars="200"/>
              <w:rPr>
                <w:sz w:val="24"/>
                <w:szCs w:val="24"/>
              </w:rPr>
            </w:pPr>
            <w:r>
              <w:rPr>
                <w:rFonts w:hint="eastAsia"/>
                <w:sz w:val="24"/>
                <w:szCs w:val="24"/>
              </w:rPr>
              <w:t>杜邦分析表</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6F9CF373">
            <w:pPr>
              <w:spacing w:line="360" w:lineRule="auto"/>
              <w:ind w:firstLine="480" w:firstLineChars="200"/>
              <w:rPr>
                <w:sz w:val="24"/>
                <w:szCs w:val="24"/>
              </w:rPr>
            </w:pPr>
            <w:r>
              <w:rPr>
                <w:rFonts w:hint="eastAsia"/>
                <w:sz w:val="24"/>
                <w:szCs w:val="24"/>
              </w:rPr>
              <w:t>1</w:t>
            </w:r>
          </w:p>
        </w:tc>
      </w:tr>
      <w:tr w14:paraId="678B4868">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tblCellMar>
            <w:top w:w="30" w:type="dxa"/>
            <w:left w:w="30" w:type="dxa"/>
            <w:bottom w:w="30" w:type="dxa"/>
            <w:right w:w="30" w:type="dxa"/>
          </w:tblCellMar>
        </w:tblPrEx>
        <w:trPr>
          <w:tblCellSpacing w:w="7" w:type="dxa"/>
          <w:jc w:val="center"/>
        </w:trPr>
        <w:tc>
          <w:tcPr>
            <w:tcW w:w="1454" w:type="pct"/>
            <w:vMerge w:val="restart"/>
            <w:tcBorders>
              <w:top w:val="single" w:color="47659B" w:sz="6" w:space="0"/>
              <w:left w:val="single" w:color="47659B" w:sz="6" w:space="0"/>
              <w:bottom w:val="single" w:color="47659B" w:sz="6" w:space="0"/>
              <w:right w:val="single" w:color="47659B" w:sz="6" w:space="0"/>
            </w:tcBorders>
            <w:shd w:val="clear" w:color="auto" w:fill="FFFFFF"/>
            <w:vAlign w:val="center"/>
          </w:tcPr>
          <w:p w14:paraId="3EF0DBC2">
            <w:pPr>
              <w:spacing w:line="360" w:lineRule="auto"/>
              <w:ind w:firstLine="480" w:firstLineChars="200"/>
              <w:rPr>
                <w:sz w:val="24"/>
                <w:szCs w:val="24"/>
              </w:rPr>
            </w:pPr>
            <w:r>
              <w:rPr>
                <w:rFonts w:hint="eastAsia"/>
                <w:sz w:val="24"/>
                <w:szCs w:val="24"/>
              </w:rPr>
              <w:t>审计实务（10）</w:t>
            </w: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392B789E">
            <w:pPr>
              <w:spacing w:line="360" w:lineRule="auto"/>
              <w:ind w:firstLine="480" w:firstLineChars="200"/>
              <w:rPr>
                <w:sz w:val="24"/>
                <w:szCs w:val="24"/>
              </w:rPr>
            </w:pPr>
            <w:r>
              <w:rPr>
                <w:rFonts w:hint="eastAsia"/>
                <w:sz w:val="24"/>
                <w:szCs w:val="24"/>
              </w:rPr>
              <w:t>货币资金审计</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53BF28C1">
            <w:pPr>
              <w:spacing w:line="360" w:lineRule="auto"/>
              <w:ind w:firstLine="480" w:firstLineChars="200"/>
              <w:rPr>
                <w:sz w:val="24"/>
                <w:szCs w:val="24"/>
              </w:rPr>
            </w:pPr>
            <w:r>
              <w:rPr>
                <w:rFonts w:hint="eastAsia"/>
                <w:sz w:val="24"/>
                <w:szCs w:val="24"/>
              </w:rPr>
              <w:t>2</w:t>
            </w:r>
          </w:p>
        </w:tc>
      </w:tr>
      <w:tr w14:paraId="636DDD98">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tblCellMar>
            <w:top w:w="30" w:type="dxa"/>
            <w:left w:w="30" w:type="dxa"/>
            <w:bottom w:w="30" w:type="dxa"/>
            <w:right w:w="30" w:type="dxa"/>
          </w:tblCellMar>
        </w:tblPrEx>
        <w:trPr>
          <w:tblCellSpacing w:w="7" w:type="dxa"/>
          <w:jc w:val="center"/>
        </w:trPr>
        <w:tc>
          <w:tcPr>
            <w:tcW w:w="1454" w:type="pct"/>
            <w:vMerge w:val="continue"/>
            <w:tcBorders>
              <w:top w:val="single" w:color="47659B" w:sz="6" w:space="0"/>
              <w:left w:val="single" w:color="47659B" w:sz="6" w:space="0"/>
              <w:bottom w:val="single" w:color="47659B" w:sz="6" w:space="0"/>
              <w:right w:val="single" w:color="47659B" w:sz="6" w:space="0"/>
            </w:tcBorders>
            <w:shd w:val="clear" w:color="auto" w:fill="FFFFFF"/>
            <w:vAlign w:val="center"/>
          </w:tcPr>
          <w:p w14:paraId="6565A4E1">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0773498C">
            <w:pPr>
              <w:spacing w:line="360" w:lineRule="auto"/>
              <w:ind w:firstLine="480" w:firstLineChars="200"/>
              <w:rPr>
                <w:sz w:val="24"/>
                <w:szCs w:val="24"/>
              </w:rPr>
            </w:pPr>
            <w:r>
              <w:rPr>
                <w:rFonts w:hint="eastAsia"/>
                <w:sz w:val="24"/>
                <w:szCs w:val="24"/>
              </w:rPr>
              <w:t>销售与收款循环审计</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6CD9325C">
            <w:pPr>
              <w:spacing w:line="360" w:lineRule="auto"/>
              <w:ind w:firstLine="480" w:firstLineChars="200"/>
              <w:rPr>
                <w:sz w:val="24"/>
                <w:szCs w:val="24"/>
              </w:rPr>
            </w:pPr>
            <w:r>
              <w:rPr>
                <w:rFonts w:hint="eastAsia"/>
                <w:sz w:val="24"/>
                <w:szCs w:val="24"/>
              </w:rPr>
              <w:t>1</w:t>
            </w:r>
          </w:p>
        </w:tc>
      </w:tr>
      <w:tr w14:paraId="34B28E0B">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tblCellMar>
            <w:top w:w="30" w:type="dxa"/>
            <w:left w:w="30" w:type="dxa"/>
            <w:bottom w:w="30" w:type="dxa"/>
            <w:right w:w="30" w:type="dxa"/>
          </w:tblCellMar>
        </w:tblPrEx>
        <w:trPr>
          <w:tblCellSpacing w:w="7" w:type="dxa"/>
          <w:jc w:val="center"/>
        </w:trPr>
        <w:tc>
          <w:tcPr>
            <w:tcW w:w="1454" w:type="pct"/>
            <w:vMerge w:val="continue"/>
            <w:tcBorders>
              <w:top w:val="single" w:color="47659B" w:sz="6" w:space="0"/>
              <w:left w:val="single" w:color="47659B" w:sz="6" w:space="0"/>
              <w:bottom w:val="single" w:color="47659B" w:sz="6" w:space="0"/>
              <w:right w:val="single" w:color="47659B" w:sz="6" w:space="0"/>
            </w:tcBorders>
            <w:shd w:val="clear" w:color="auto" w:fill="FFFFFF"/>
            <w:vAlign w:val="center"/>
          </w:tcPr>
          <w:p w14:paraId="08DAF8E6">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538B3983">
            <w:pPr>
              <w:spacing w:line="360" w:lineRule="auto"/>
              <w:ind w:firstLine="480" w:firstLineChars="200"/>
              <w:rPr>
                <w:sz w:val="24"/>
                <w:szCs w:val="24"/>
              </w:rPr>
            </w:pPr>
            <w:r>
              <w:rPr>
                <w:rFonts w:hint="eastAsia"/>
                <w:sz w:val="24"/>
                <w:szCs w:val="24"/>
              </w:rPr>
              <w:t>生产与存货循环审计</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1F2A4C01">
            <w:pPr>
              <w:spacing w:line="360" w:lineRule="auto"/>
              <w:ind w:firstLine="480" w:firstLineChars="200"/>
              <w:rPr>
                <w:sz w:val="24"/>
                <w:szCs w:val="24"/>
              </w:rPr>
            </w:pPr>
            <w:r>
              <w:rPr>
                <w:rFonts w:hint="eastAsia"/>
                <w:sz w:val="24"/>
                <w:szCs w:val="24"/>
              </w:rPr>
              <w:t>2</w:t>
            </w:r>
          </w:p>
        </w:tc>
      </w:tr>
      <w:tr w14:paraId="1EBFC06A">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tblCellMar>
            <w:top w:w="30" w:type="dxa"/>
            <w:left w:w="30" w:type="dxa"/>
            <w:bottom w:w="30" w:type="dxa"/>
            <w:right w:w="30" w:type="dxa"/>
          </w:tblCellMar>
        </w:tblPrEx>
        <w:trPr>
          <w:tblCellSpacing w:w="7" w:type="dxa"/>
          <w:jc w:val="center"/>
        </w:trPr>
        <w:tc>
          <w:tcPr>
            <w:tcW w:w="1454" w:type="pct"/>
            <w:vMerge w:val="continue"/>
            <w:tcBorders>
              <w:top w:val="single" w:color="47659B" w:sz="6" w:space="0"/>
              <w:left w:val="single" w:color="47659B" w:sz="6" w:space="0"/>
              <w:bottom w:val="single" w:color="47659B" w:sz="6" w:space="0"/>
              <w:right w:val="single" w:color="47659B" w:sz="6" w:space="0"/>
            </w:tcBorders>
            <w:shd w:val="clear" w:color="auto" w:fill="FFFFFF"/>
            <w:vAlign w:val="center"/>
          </w:tcPr>
          <w:p w14:paraId="41000101">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3833685E">
            <w:pPr>
              <w:spacing w:line="360" w:lineRule="auto"/>
              <w:ind w:firstLine="480" w:firstLineChars="200"/>
              <w:rPr>
                <w:sz w:val="24"/>
                <w:szCs w:val="24"/>
              </w:rPr>
            </w:pPr>
            <w:r>
              <w:rPr>
                <w:rFonts w:hint="eastAsia"/>
                <w:sz w:val="24"/>
                <w:szCs w:val="24"/>
              </w:rPr>
              <w:t>固定资产循环审计</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2737B24B">
            <w:pPr>
              <w:spacing w:line="360" w:lineRule="auto"/>
              <w:ind w:firstLine="480" w:firstLineChars="200"/>
              <w:rPr>
                <w:sz w:val="24"/>
                <w:szCs w:val="24"/>
              </w:rPr>
            </w:pPr>
            <w:r>
              <w:rPr>
                <w:rFonts w:hint="eastAsia"/>
                <w:sz w:val="24"/>
                <w:szCs w:val="24"/>
              </w:rPr>
              <w:t>1</w:t>
            </w:r>
          </w:p>
        </w:tc>
      </w:tr>
      <w:tr w14:paraId="63A93956">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1454" w:type="pct"/>
            <w:vMerge w:val="continue"/>
            <w:tcBorders>
              <w:top w:val="single" w:color="47659B" w:sz="6" w:space="0"/>
              <w:left w:val="single" w:color="47659B" w:sz="6" w:space="0"/>
              <w:bottom w:val="single" w:color="47659B" w:sz="6" w:space="0"/>
              <w:right w:val="single" w:color="47659B" w:sz="6" w:space="0"/>
            </w:tcBorders>
            <w:shd w:val="clear" w:color="auto" w:fill="FFFFFF"/>
            <w:vAlign w:val="center"/>
          </w:tcPr>
          <w:p w14:paraId="3D455BD4">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28E0AC22">
            <w:pPr>
              <w:spacing w:line="360" w:lineRule="auto"/>
              <w:ind w:firstLine="480" w:firstLineChars="200"/>
              <w:rPr>
                <w:sz w:val="24"/>
                <w:szCs w:val="24"/>
              </w:rPr>
            </w:pPr>
            <w:r>
              <w:rPr>
                <w:rFonts w:hint="eastAsia"/>
                <w:sz w:val="24"/>
                <w:szCs w:val="24"/>
              </w:rPr>
              <w:t>筹资与投资循环审计</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4E385F34">
            <w:pPr>
              <w:spacing w:line="360" w:lineRule="auto"/>
              <w:ind w:firstLine="480" w:firstLineChars="200"/>
              <w:rPr>
                <w:sz w:val="24"/>
                <w:szCs w:val="24"/>
              </w:rPr>
            </w:pPr>
            <w:r>
              <w:rPr>
                <w:rFonts w:hint="eastAsia"/>
                <w:sz w:val="24"/>
                <w:szCs w:val="24"/>
              </w:rPr>
              <w:t>2</w:t>
            </w:r>
          </w:p>
        </w:tc>
      </w:tr>
      <w:tr w14:paraId="7EEFAF27">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tblCellMar>
            <w:top w:w="30" w:type="dxa"/>
            <w:left w:w="30" w:type="dxa"/>
            <w:bottom w:w="30" w:type="dxa"/>
            <w:right w:w="30" w:type="dxa"/>
          </w:tblCellMar>
        </w:tblPrEx>
        <w:trPr>
          <w:tblCellSpacing w:w="7" w:type="dxa"/>
          <w:jc w:val="center"/>
        </w:trPr>
        <w:tc>
          <w:tcPr>
            <w:tcW w:w="1454" w:type="pct"/>
            <w:vMerge w:val="continue"/>
            <w:tcBorders>
              <w:top w:val="single" w:color="47659B" w:sz="6" w:space="0"/>
              <w:left w:val="single" w:color="47659B" w:sz="6" w:space="0"/>
              <w:bottom w:val="single" w:color="47659B" w:sz="6" w:space="0"/>
              <w:right w:val="single" w:color="47659B" w:sz="6" w:space="0"/>
            </w:tcBorders>
            <w:shd w:val="clear" w:color="auto" w:fill="FFFFFF"/>
            <w:vAlign w:val="center"/>
          </w:tcPr>
          <w:p w14:paraId="6E098436">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7E220200">
            <w:pPr>
              <w:spacing w:line="360" w:lineRule="auto"/>
              <w:ind w:firstLine="480" w:firstLineChars="200"/>
              <w:rPr>
                <w:sz w:val="24"/>
                <w:szCs w:val="24"/>
              </w:rPr>
            </w:pPr>
            <w:r>
              <w:rPr>
                <w:rFonts w:hint="eastAsia"/>
                <w:sz w:val="24"/>
                <w:szCs w:val="24"/>
              </w:rPr>
              <w:t>采货与付款循环审计</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79B3B9E6">
            <w:pPr>
              <w:spacing w:line="360" w:lineRule="auto"/>
              <w:ind w:firstLine="480" w:firstLineChars="200"/>
              <w:rPr>
                <w:sz w:val="24"/>
                <w:szCs w:val="24"/>
              </w:rPr>
            </w:pPr>
            <w:r>
              <w:rPr>
                <w:rFonts w:hint="eastAsia"/>
                <w:sz w:val="24"/>
                <w:szCs w:val="24"/>
              </w:rPr>
              <w:t>1</w:t>
            </w:r>
          </w:p>
        </w:tc>
      </w:tr>
      <w:tr w14:paraId="1F700CFC">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tblCellMar>
            <w:top w:w="30" w:type="dxa"/>
            <w:left w:w="30" w:type="dxa"/>
            <w:bottom w:w="30" w:type="dxa"/>
            <w:right w:w="30" w:type="dxa"/>
          </w:tblCellMar>
        </w:tblPrEx>
        <w:trPr>
          <w:tblCellSpacing w:w="7" w:type="dxa"/>
          <w:jc w:val="center"/>
        </w:trPr>
        <w:tc>
          <w:tcPr>
            <w:tcW w:w="1454" w:type="pct"/>
            <w:vMerge w:val="continue"/>
            <w:tcBorders>
              <w:top w:val="single" w:color="47659B" w:sz="6" w:space="0"/>
              <w:left w:val="single" w:color="47659B" w:sz="6" w:space="0"/>
              <w:bottom w:val="single" w:color="47659B" w:sz="6" w:space="0"/>
              <w:right w:val="single" w:color="47659B" w:sz="6" w:space="0"/>
            </w:tcBorders>
            <w:shd w:val="clear" w:color="auto" w:fill="FFFFFF"/>
            <w:vAlign w:val="center"/>
          </w:tcPr>
          <w:p w14:paraId="4C1F5C16">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6A1C87A4">
            <w:pPr>
              <w:spacing w:line="360" w:lineRule="auto"/>
              <w:ind w:firstLine="480" w:firstLineChars="200"/>
              <w:rPr>
                <w:sz w:val="24"/>
                <w:szCs w:val="24"/>
              </w:rPr>
            </w:pPr>
            <w:r>
              <w:rPr>
                <w:rFonts w:hint="eastAsia"/>
                <w:sz w:val="24"/>
                <w:szCs w:val="24"/>
              </w:rPr>
              <w:t>其他审计</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638C7BA3">
            <w:pPr>
              <w:spacing w:line="360" w:lineRule="auto"/>
              <w:ind w:firstLine="480" w:firstLineChars="200"/>
              <w:rPr>
                <w:sz w:val="24"/>
                <w:szCs w:val="24"/>
              </w:rPr>
            </w:pPr>
            <w:r>
              <w:rPr>
                <w:rFonts w:hint="eastAsia"/>
                <w:sz w:val="24"/>
                <w:szCs w:val="24"/>
              </w:rPr>
              <w:t>1</w:t>
            </w:r>
          </w:p>
        </w:tc>
      </w:tr>
      <w:tr w14:paraId="5BBD410A">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1454" w:type="pct"/>
            <w:vMerge w:val="restart"/>
            <w:tcBorders>
              <w:top w:val="single" w:color="47659B" w:sz="6" w:space="0"/>
              <w:left w:val="single" w:color="47659B" w:sz="6" w:space="0"/>
              <w:right w:val="single" w:color="47659B" w:sz="6" w:space="0"/>
            </w:tcBorders>
            <w:shd w:val="clear" w:color="auto" w:fill="FFFFFF"/>
            <w:vAlign w:val="center"/>
          </w:tcPr>
          <w:p w14:paraId="28AEE130">
            <w:pPr>
              <w:spacing w:line="360" w:lineRule="auto"/>
              <w:ind w:firstLine="480" w:firstLineChars="200"/>
              <w:rPr>
                <w:sz w:val="24"/>
                <w:szCs w:val="24"/>
              </w:rPr>
            </w:pPr>
            <w:r>
              <w:rPr>
                <w:rFonts w:hint="eastAsia"/>
                <w:sz w:val="24"/>
                <w:szCs w:val="24"/>
              </w:rPr>
              <w:t>管理决策（15）</w:t>
            </w: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5801A668">
            <w:pPr>
              <w:spacing w:line="360" w:lineRule="auto"/>
              <w:ind w:firstLine="480" w:firstLineChars="200"/>
              <w:rPr>
                <w:sz w:val="24"/>
                <w:szCs w:val="24"/>
              </w:rPr>
            </w:pPr>
            <w:r>
              <w:rPr>
                <w:rFonts w:hint="eastAsia"/>
                <w:sz w:val="24"/>
                <w:szCs w:val="24"/>
              </w:rPr>
              <w:t>财务杠杆分析案例</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5259D7EB">
            <w:pPr>
              <w:spacing w:line="360" w:lineRule="auto"/>
              <w:ind w:firstLine="480" w:firstLineChars="200"/>
              <w:rPr>
                <w:sz w:val="24"/>
                <w:szCs w:val="24"/>
              </w:rPr>
            </w:pPr>
            <w:r>
              <w:rPr>
                <w:rFonts w:hint="eastAsia"/>
                <w:sz w:val="24"/>
                <w:szCs w:val="24"/>
              </w:rPr>
              <w:t>1</w:t>
            </w:r>
          </w:p>
        </w:tc>
      </w:tr>
      <w:tr w14:paraId="06F9015E">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tblCellMar>
            <w:top w:w="30" w:type="dxa"/>
            <w:left w:w="30" w:type="dxa"/>
            <w:bottom w:w="30" w:type="dxa"/>
            <w:right w:w="30" w:type="dxa"/>
          </w:tblCellMar>
        </w:tblPrEx>
        <w:trPr>
          <w:tblCellSpacing w:w="7" w:type="dxa"/>
          <w:jc w:val="center"/>
        </w:trPr>
        <w:tc>
          <w:tcPr>
            <w:tcW w:w="1454" w:type="pct"/>
            <w:vMerge w:val="continue"/>
            <w:tcBorders>
              <w:left w:val="single" w:color="47659B" w:sz="6" w:space="0"/>
              <w:right w:val="single" w:color="47659B" w:sz="6" w:space="0"/>
            </w:tcBorders>
            <w:shd w:val="clear" w:color="auto" w:fill="FFFFFF"/>
            <w:vAlign w:val="center"/>
          </w:tcPr>
          <w:p w14:paraId="06750157">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51C11EE0">
            <w:pPr>
              <w:spacing w:line="360" w:lineRule="auto"/>
              <w:ind w:firstLine="480" w:firstLineChars="200"/>
              <w:rPr>
                <w:sz w:val="24"/>
                <w:szCs w:val="24"/>
              </w:rPr>
            </w:pPr>
            <w:r>
              <w:rPr>
                <w:rFonts w:hint="eastAsia"/>
                <w:sz w:val="24"/>
                <w:szCs w:val="24"/>
              </w:rPr>
              <w:t>存货管理案例</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78CA6105">
            <w:pPr>
              <w:spacing w:line="360" w:lineRule="auto"/>
              <w:ind w:firstLine="480" w:firstLineChars="200"/>
              <w:rPr>
                <w:sz w:val="24"/>
                <w:szCs w:val="24"/>
              </w:rPr>
            </w:pPr>
            <w:r>
              <w:rPr>
                <w:rFonts w:hint="eastAsia"/>
                <w:sz w:val="24"/>
                <w:szCs w:val="24"/>
              </w:rPr>
              <w:t>2</w:t>
            </w:r>
          </w:p>
        </w:tc>
      </w:tr>
      <w:tr w14:paraId="1E44FE76">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1454" w:type="pct"/>
            <w:vMerge w:val="continue"/>
            <w:tcBorders>
              <w:left w:val="single" w:color="47659B" w:sz="6" w:space="0"/>
              <w:right w:val="single" w:color="47659B" w:sz="6" w:space="0"/>
            </w:tcBorders>
            <w:shd w:val="clear" w:color="auto" w:fill="FFFFFF"/>
            <w:vAlign w:val="center"/>
          </w:tcPr>
          <w:p w14:paraId="19B63311">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7DD1C453">
            <w:pPr>
              <w:spacing w:line="360" w:lineRule="auto"/>
              <w:ind w:firstLine="480" w:firstLineChars="200"/>
              <w:rPr>
                <w:sz w:val="24"/>
                <w:szCs w:val="24"/>
              </w:rPr>
            </w:pPr>
            <w:r>
              <w:rPr>
                <w:rFonts w:hint="eastAsia"/>
                <w:sz w:val="24"/>
                <w:szCs w:val="24"/>
              </w:rPr>
              <w:t>经营杠杆分析案例</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7365AA59">
            <w:pPr>
              <w:spacing w:line="360" w:lineRule="auto"/>
              <w:ind w:firstLine="480" w:firstLineChars="200"/>
              <w:rPr>
                <w:sz w:val="24"/>
                <w:szCs w:val="24"/>
              </w:rPr>
            </w:pPr>
            <w:r>
              <w:rPr>
                <w:rFonts w:hint="eastAsia"/>
                <w:sz w:val="24"/>
                <w:szCs w:val="24"/>
              </w:rPr>
              <w:t>1</w:t>
            </w:r>
          </w:p>
        </w:tc>
      </w:tr>
      <w:tr w14:paraId="51E40156">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1454" w:type="pct"/>
            <w:vMerge w:val="continue"/>
            <w:tcBorders>
              <w:left w:val="single" w:color="47659B" w:sz="6" w:space="0"/>
              <w:right w:val="single" w:color="47659B" w:sz="6" w:space="0"/>
            </w:tcBorders>
            <w:shd w:val="clear" w:color="auto" w:fill="FFFFFF"/>
            <w:vAlign w:val="center"/>
          </w:tcPr>
          <w:p w14:paraId="57E2BE85">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30B3E35D">
            <w:pPr>
              <w:spacing w:line="360" w:lineRule="auto"/>
              <w:ind w:firstLine="480" w:firstLineChars="200"/>
              <w:rPr>
                <w:sz w:val="24"/>
                <w:szCs w:val="24"/>
              </w:rPr>
            </w:pPr>
            <w:r>
              <w:rPr>
                <w:rFonts w:hint="eastAsia"/>
                <w:sz w:val="24"/>
                <w:szCs w:val="24"/>
              </w:rPr>
              <w:t>确定固定资产经济寿命案例</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0026219C">
            <w:pPr>
              <w:spacing w:line="360" w:lineRule="auto"/>
              <w:ind w:firstLine="480" w:firstLineChars="200"/>
              <w:rPr>
                <w:sz w:val="24"/>
                <w:szCs w:val="24"/>
              </w:rPr>
            </w:pPr>
            <w:r>
              <w:rPr>
                <w:rFonts w:hint="eastAsia"/>
                <w:sz w:val="24"/>
                <w:szCs w:val="24"/>
              </w:rPr>
              <w:t>2</w:t>
            </w:r>
          </w:p>
        </w:tc>
      </w:tr>
      <w:tr w14:paraId="446A80DF">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1454" w:type="pct"/>
            <w:vMerge w:val="continue"/>
            <w:tcBorders>
              <w:left w:val="single" w:color="47659B" w:sz="6" w:space="0"/>
              <w:right w:val="single" w:color="47659B" w:sz="6" w:space="0"/>
            </w:tcBorders>
            <w:shd w:val="clear" w:color="auto" w:fill="FFFFFF"/>
            <w:vAlign w:val="center"/>
          </w:tcPr>
          <w:p w14:paraId="33142BC4">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27DFD92B">
            <w:pPr>
              <w:spacing w:line="360" w:lineRule="auto"/>
              <w:ind w:firstLine="480" w:firstLineChars="200"/>
              <w:rPr>
                <w:sz w:val="24"/>
                <w:szCs w:val="24"/>
              </w:rPr>
            </w:pPr>
            <w:r>
              <w:rPr>
                <w:rFonts w:hint="eastAsia"/>
                <w:sz w:val="24"/>
                <w:szCs w:val="24"/>
              </w:rPr>
              <w:t>多个项目投资决策(房地产项目)案例</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519B0DBA">
            <w:pPr>
              <w:spacing w:line="360" w:lineRule="auto"/>
              <w:ind w:firstLine="480" w:firstLineChars="200"/>
              <w:rPr>
                <w:sz w:val="24"/>
                <w:szCs w:val="24"/>
              </w:rPr>
            </w:pPr>
            <w:r>
              <w:rPr>
                <w:rFonts w:hint="eastAsia"/>
                <w:sz w:val="24"/>
                <w:szCs w:val="24"/>
              </w:rPr>
              <w:t>2</w:t>
            </w:r>
          </w:p>
        </w:tc>
      </w:tr>
      <w:tr w14:paraId="282653A3">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1454" w:type="pct"/>
            <w:vMerge w:val="continue"/>
            <w:tcBorders>
              <w:left w:val="single" w:color="47659B" w:sz="6" w:space="0"/>
              <w:right w:val="single" w:color="47659B" w:sz="6" w:space="0"/>
            </w:tcBorders>
            <w:shd w:val="clear" w:color="auto" w:fill="FFFFFF"/>
            <w:vAlign w:val="center"/>
          </w:tcPr>
          <w:p w14:paraId="44DEBEDB">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304CBB37">
            <w:pPr>
              <w:spacing w:line="360" w:lineRule="auto"/>
              <w:ind w:firstLine="480" w:firstLineChars="200"/>
              <w:rPr>
                <w:sz w:val="24"/>
                <w:szCs w:val="24"/>
              </w:rPr>
            </w:pPr>
            <w:r>
              <w:rPr>
                <w:rFonts w:hint="eastAsia"/>
                <w:sz w:val="24"/>
                <w:szCs w:val="24"/>
              </w:rPr>
              <w:t>营运资金政策管理案例</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0AB6F6CA">
            <w:pPr>
              <w:spacing w:line="360" w:lineRule="auto"/>
              <w:ind w:firstLine="480" w:firstLineChars="200"/>
              <w:rPr>
                <w:sz w:val="24"/>
                <w:szCs w:val="24"/>
              </w:rPr>
            </w:pPr>
            <w:r>
              <w:rPr>
                <w:rFonts w:hint="eastAsia"/>
                <w:sz w:val="24"/>
                <w:szCs w:val="24"/>
              </w:rPr>
              <w:t>2</w:t>
            </w:r>
          </w:p>
        </w:tc>
      </w:tr>
      <w:tr w14:paraId="210F8F71">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tblCellMar>
            <w:top w:w="30" w:type="dxa"/>
            <w:left w:w="30" w:type="dxa"/>
            <w:bottom w:w="30" w:type="dxa"/>
            <w:right w:w="30" w:type="dxa"/>
          </w:tblCellMar>
        </w:tblPrEx>
        <w:trPr>
          <w:tblCellSpacing w:w="7" w:type="dxa"/>
          <w:jc w:val="center"/>
        </w:trPr>
        <w:tc>
          <w:tcPr>
            <w:tcW w:w="1454" w:type="pct"/>
            <w:vMerge w:val="continue"/>
            <w:tcBorders>
              <w:left w:val="single" w:color="47659B" w:sz="6" w:space="0"/>
              <w:right w:val="single" w:color="47659B" w:sz="6" w:space="0"/>
            </w:tcBorders>
            <w:shd w:val="clear" w:color="auto" w:fill="FFFFFF"/>
            <w:vAlign w:val="center"/>
          </w:tcPr>
          <w:p w14:paraId="61636D27">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3E5F624F">
            <w:pPr>
              <w:spacing w:line="360" w:lineRule="auto"/>
              <w:ind w:firstLine="480" w:firstLineChars="200"/>
              <w:rPr>
                <w:sz w:val="24"/>
                <w:szCs w:val="24"/>
              </w:rPr>
            </w:pPr>
            <w:r>
              <w:rPr>
                <w:rFonts w:hint="eastAsia"/>
                <w:sz w:val="24"/>
                <w:szCs w:val="24"/>
              </w:rPr>
              <w:t>产业经营型企业集团预算的确定案例</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6C4B552D">
            <w:pPr>
              <w:spacing w:line="360" w:lineRule="auto"/>
              <w:ind w:firstLine="480" w:firstLineChars="200"/>
              <w:rPr>
                <w:sz w:val="24"/>
                <w:szCs w:val="24"/>
              </w:rPr>
            </w:pPr>
            <w:r>
              <w:rPr>
                <w:rFonts w:hint="eastAsia"/>
                <w:sz w:val="24"/>
                <w:szCs w:val="24"/>
              </w:rPr>
              <w:t>1</w:t>
            </w:r>
          </w:p>
        </w:tc>
      </w:tr>
      <w:tr w14:paraId="46582B38">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1454" w:type="pct"/>
            <w:vMerge w:val="continue"/>
            <w:tcBorders>
              <w:left w:val="single" w:color="47659B" w:sz="6" w:space="0"/>
              <w:right w:val="single" w:color="47659B" w:sz="6" w:space="0"/>
            </w:tcBorders>
            <w:shd w:val="clear" w:color="auto" w:fill="FFFFFF"/>
            <w:vAlign w:val="center"/>
          </w:tcPr>
          <w:p w14:paraId="6CFEB1B2">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01F3FD18">
            <w:pPr>
              <w:spacing w:line="360" w:lineRule="auto"/>
              <w:ind w:firstLine="480" w:firstLineChars="200"/>
              <w:rPr>
                <w:sz w:val="24"/>
                <w:szCs w:val="24"/>
              </w:rPr>
            </w:pPr>
            <w:r>
              <w:rPr>
                <w:rFonts w:hint="eastAsia"/>
                <w:sz w:val="24"/>
                <w:szCs w:val="24"/>
              </w:rPr>
              <w:t>企业价值评估案例</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084125EA">
            <w:pPr>
              <w:spacing w:line="360" w:lineRule="auto"/>
              <w:ind w:firstLine="480" w:firstLineChars="200"/>
              <w:rPr>
                <w:sz w:val="24"/>
                <w:szCs w:val="24"/>
              </w:rPr>
            </w:pPr>
            <w:r>
              <w:rPr>
                <w:rFonts w:hint="eastAsia"/>
                <w:sz w:val="24"/>
                <w:szCs w:val="24"/>
              </w:rPr>
              <w:t>2</w:t>
            </w:r>
          </w:p>
        </w:tc>
      </w:tr>
      <w:tr w14:paraId="0809D7E6">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1454" w:type="pct"/>
            <w:vMerge w:val="continue"/>
            <w:tcBorders>
              <w:left w:val="single" w:color="47659B" w:sz="6" w:space="0"/>
              <w:bottom w:val="single" w:color="47659B" w:sz="6" w:space="0"/>
              <w:right w:val="single" w:color="47659B" w:sz="6" w:space="0"/>
            </w:tcBorders>
            <w:shd w:val="clear" w:color="auto" w:fill="FFFFFF"/>
            <w:vAlign w:val="center"/>
          </w:tcPr>
          <w:p w14:paraId="3F7EF06E">
            <w:pPr>
              <w:spacing w:line="360" w:lineRule="auto"/>
              <w:ind w:firstLine="480" w:firstLineChars="200"/>
              <w:rPr>
                <w:sz w:val="24"/>
                <w:szCs w:val="24"/>
              </w:rPr>
            </w:pPr>
          </w:p>
        </w:tc>
        <w:tc>
          <w:tcPr>
            <w:tcW w:w="2492" w:type="pct"/>
            <w:tcBorders>
              <w:top w:val="single" w:color="47659B" w:sz="6" w:space="0"/>
              <w:left w:val="single" w:color="47659B" w:sz="6" w:space="0"/>
              <w:bottom w:val="single" w:color="47659B" w:sz="6" w:space="0"/>
              <w:right w:val="single" w:color="47659B" w:sz="6" w:space="0"/>
            </w:tcBorders>
            <w:shd w:val="clear" w:color="auto" w:fill="FFFFFF"/>
            <w:vAlign w:val="center"/>
          </w:tcPr>
          <w:p w14:paraId="03DA8880">
            <w:pPr>
              <w:spacing w:line="360" w:lineRule="auto"/>
              <w:ind w:firstLine="480" w:firstLineChars="200"/>
              <w:rPr>
                <w:sz w:val="24"/>
                <w:szCs w:val="24"/>
              </w:rPr>
            </w:pPr>
            <w:r>
              <w:rPr>
                <w:rFonts w:hint="eastAsia"/>
                <w:sz w:val="24"/>
                <w:szCs w:val="24"/>
              </w:rPr>
              <w:t>多个项目投资决策(固定资产)案例</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71B3567C">
            <w:pPr>
              <w:spacing w:line="360" w:lineRule="auto"/>
              <w:ind w:firstLine="480" w:firstLineChars="200"/>
              <w:rPr>
                <w:sz w:val="24"/>
                <w:szCs w:val="24"/>
              </w:rPr>
            </w:pPr>
            <w:r>
              <w:rPr>
                <w:rFonts w:hint="eastAsia"/>
                <w:sz w:val="24"/>
                <w:szCs w:val="24"/>
              </w:rPr>
              <w:t>2</w:t>
            </w:r>
          </w:p>
        </w:tc>
      </w:tr>
      <w:tr w14:paraId="03EA3251">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3955"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7CAC47FA">
            <w:pPr>
              <w:spacing w:line="360" w:lineRule="auto"/>
              <w:ind w:firstLine="480" w:firstLineChars="200"/>
              <w:rPr>
                <w:sz w:val="24"/>
                <w:szCs w:val="24"/>
              </w:rPr>
            </w:pPr>
            <w:r>
              <w:rPr>
                <w:rFonts w:hint="eastAsia"/>
                <w:sz w:val="24"/>
                <w:szCs w:val="24"/>
              </w:rPr>
              <w:t>实验考核（4）</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78522F36">
            <w:pPr>
              <w:spacing w:line="360" w:lineRule="auto"/>
              <w:ind w:firstLine="480" w:firstLineChars="200"/>
              <w:rPr>
                <w:sz w:val="24"/>
                <w:szCs w:val="24"/>
              </w:rPr>
            </w:pPr>
            <w:r>
              <w:rPr>
                <w:rFonts w:hint="eastAsia"/>
                <w:sz w:val="24"/>
                <w:szCs w:val="24"/>
              </w:rPr>
              <w:t>4</w:t>
            </w:r>
          </w:p>
        </w:tc>
      </w:tr>
      <w:tr w14:paraId="365FDFDF">
        <w:tblPrEx>
          <w:tblBorders>
            <w:top w:val="outset" w:color="506489" w:sz="6" w:space="0"/>
            <w:left w:val="outset" w:color="506489" w:sz="6" w:space="0"/>
            <w:bottom w:val="outset" w:color="506489" w:sz="6" w:space="0"/>
            <w:right w:val="outset" w:color="506489" w:sz="6" w:space="0"/>
            <w:insideH w:val="none" w:color="auto" w:sz="0" w:space="0"/>
            <w:insideV w:val="none" w:color="auto" w:sz="0" w:space="0"/>
          </w:tblBorders>
          <w:shd w:val="clear" w:color="auto" w:fill="FFFFFF"/>
          <w:tblCellMar>
            <w:top w:w="30" w:type="dxa"/>
            <w:left w:w="30" w:type="dxa"/>
            <w:bottom w:w="30" w:type="dxa"/>
            <w:right w:w="30" w:type="dxa"/>
          </w:tblCellMar>
        </w:tblPrEx>
        <w:trPr>
          <w:tblCellSpacing w:w="7" w:type="dxa"/>
          <w:jc w:val="center"/>
        </w:trPr>
        <w:tc>
          <w:tcPr>
            <w:tcW w:w="3955"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4A98FF1A">
            <w:pPr>
              <w:spacing w:line="360" w:lineRule="auto"/>
              <w:ind w:firstLine="480" w:firstLineChars="200"/>
              <w:rPr>
                <w:sz w:val="24"/>
                <w:szCs w:val="24"/>
              </w:rPr>
            </w:pPr>
            <w:r>
              <w:rPr>
                <w:rFonts w:hint="eastAsia"/>
                <w:sz w:val="24"/>
                <w:szCs w:val="24"/>
              </w:rPr>
              <w:t>学时合计</w:t>
            </w:r>
          </w:p>
        </w:tc>
        <w:tc>
          <w:tcPr>
            <w:tcW w:w="1019" w:type="pct"/>
            <w:gridSpan w:val="2"/>
            <w:tcBorders>
              <w:top w:val="single" w:color="47659B" w:sz="6" w:space="0"/>
              <w:left w:val="single" w:color="47659B" w:sz="6" w:space="0"/>
              <w:bottom w:val="single" w:color="47659B" w:sz="6" w:space="0"/>
              <w:right w:val="single" w:color="47659B" w:sz="6" w:space="0"/>
            </w:tcBorders>
            <w:shd w:val="clear" w:color="auto" w:fill="FFFFFF"/>
            <w:vAlign w:val="center"/>
          </w:tcPr>
          <w:p w14:paraId="6A7F72B1">
            <w:pPr>
              <w:spacing w:line="360" w:lineRule="auto"/>
              <w:ind w:firstLine="480" w:firstLineChars="200"/>
              <w:rPr>
                <w:sz w:val="24"/>
                <w:szCs w:val="24"/>
              </w:rPr>
            </w:pPr>
            <w:r>
              <w:rPr>
                <w:sz w:val="24"/>
                <w:szCs w:val="24"/>
              </w:rPr>
              <w:t>54</w:t>
            </w:r>
          </w:p>
        </w:tc>
      </w:tr>
    </w:tbl>
    <w:p w14:paraId="171C3340">
      <w:pPr>
        <w:spacing w:line="360" w:lineRule="auto"/>
        <w:ind w:firstLine="480" w:firstLineChars="200"/>
        <w:rPr>
          <w:sz w:val="24"/>
          <w:szCs w:val="24"/>
        </w:rPr>
      </w:pPr>
    </w:p>
    <w:p w14:paraId="71A0B28D">
      <w:pPr>
        <w:spacing w:line="360" w:lineRule="auto"/>
        <w:ind w:firstLine="480" w:firstLineChars="200"/>
        <w:rPr>
          <w:sz w:val="24"/>
          <w:szCs w:val="24"/>
        </w:rPr>
      </w:pPr>
    </w:p>
    <w:p w14:paraId="3CEEC20F">
      <w:pPr>
        <w:spacing w:line="360" w:lineRule="auto"/>
        <w:ind w:firstLine="562" w:firstLineChars="200"/>
        <w:jc w:val="center"/>
        <w:rPr>
          <w:rFonts w:ascii="黑体" w:hAnsi="黑体" w:eastAsia="黑体"/>
          <w:b/>
          <w:sz w:val="28"/>
          <w:szCs w:val="28"/>
        </w:rPr>
      </w:pPr>
      <w:r>
        <w:rPr>
          <w:rFonts w:hint="eastAsia" w:ascii="黑体" w:hAnsi="黑体" w:eastAsia="黑体"/>
          <w:b/>
          <w:sz w:val="28"/>
          <w:szCs w:val="28"/>
        </w:rPr>
        <w:t xml:space="preserve">第二部分 </w:t>
      </w:r>
      <w:r>
        <w:rPr>
          <w:rFonts w:ascii="黑体" w:hAnsi="黑体" w:eastAsia="黑体"/>
          <w:b/>
          <w:sz w:val="28"/>
          <w:szCs w:val="28"/>
        </w:rPr>
        <w:t xml:space="preserve"> </w:t>
      </w:r>
      <w:r>
        <w:rPr>
          <w:rFonts w:hint="eastAsia" w:ascii="黑体" w:hAnsi="黑体" w:eastAsia="黑体"/>
          <w:b/>
          <w:sz w:val="28"/>
          <w:szCs w:val="28"/>
        </w:rPr>
        <w:t>毕业论文</w:t>
      </w:r>
    </w:p>
    <w:p w14:paraId="2E979696">
      <w:pPr>
        <w:widowControl/>
        <w:spacing w:line="360" w:lineRule="auto"/>
        <w:ind w:firstLine="480" w:firstLineChars="200"/>
        <w:jc w:val="left"/>
        <w:rPr>
          <w:rFonts w:hint="eastAsia" w:ascii="宋体" w:hAnsi="宋体" w:cs="宋体"/>
          <w:color w:val="000000"/>
          <w:kern w:val="0"/>
          <w:sz w:val="24"/>
        </w:rPr>
      </w:pPr>
      <w:r>
        <w:rPr>
          <w:rFonts w:hint="eastAsia"/>
          <w:sz w:val="24"/>
          <w:szCs w:val="24"/>
        </w:rPr>
        <w:t>毕业论文是会计学专业学生整个学习过程中一个极其重要的教学环节，是学生运用在校学习的基本知识和基础理论，去研究和探讨实际问题的实践锻炼。是综合考察学生运用所学知识分析问题、解决问题以及动手操作能力的一个重要手段。撰写毕业论文有利于培养学生综合地运用所学会计专业知识和技能解决问题的能力</w:t>
      </w:r>
      <w:r>
        <w:rPr>
          <w:sz w:val="24"/>
          <w:szCs w:val="24"/>
        </w:rPr>
        <w:t>,并使学生受到会计研究工作的初步训练。</w:t>
      </w:r>
      <w:r>
        <w:rPr>
          <w:rFonts w:ascii="宋体" w:hAnsi="宋体" w:cs="宋体"/>
          <w:b/>
          <w:bCs/>
          <w:color w:val="000000"/>
          <w:kern w:val="0"/>
          <w:sz w:val="24"/>
        </w:rPr>
        <w:t>毕业论文为</w:t>
      </w:r>
      <w:r>
        <w:rPr>
          <w:rFonts w:hint="eastAsia" w:ascii="宋体" w:hAnsi="宋体" w:cs="宋体"/>
          <w:b/>
          <w:bCs/>
          <w:color w:val="000000"/>
          <w:kern w:val="0"/>
          <w:sz w:val="24"/>
        </w:rPr>
        <w:t>本</w:t>
      </w:r>
      <w:r>
        <w:rPr>
          <w:rFonts w:ascii="宋体" w:hAnsi="宋体" w:cs="宋体"/>
          <w:b/>
          <w:bCs/>
          <w:color w:val="000000"/>
          <w:kern w:val="0"/>
          <w:sz w:val="24"/>
        </w:rPr>
        <w:t>专业学生必修环节，不得免修。</w:t>
      </w:r>
    </w:p>
    <w:p w14:paraId="626283DB">
      <w:pPr>
        <w:widowControl/>
        <w:spacing w:line="360" w:lineRule="auto"/>
        <w:ind w:left="480"/>
        <w:jc w:val="left"/>
        <w:rPr>
          <w:rFonts w:hint="eastAsia"/>
          <w:b/>
          <w:sz w:val="24"/>
        </w:rPr>
      </w:pPr>
      <w:r>
        <w:rPr>
          <w:rFonts w:hint="eastAsia"/>
          <w:b/>
          <w:sz w:val="24"/>
        </w:rPr>
        <w:t>一、</w:t>
      </w:r>
      <w:r>
        <w:rPr>
          <w:rFonts w:hint="eastAsia" w:ascii="宋体" w:hAnsi="宋体" w:cs="宋体"/>
          <w:b/>
          <w:color w:val="000000"/>
          <w:kern w:val="0"/>
          <w:sz w:val="24"/>
        </w:rPr>
        <w:t>组织机构及职责</w:t>
      </w:r>
    </w:p>
    <w:p w14:paraId="7869567A">
      <w:pPr>
        <w:widowControl/>
        <w:spacing w:line="360" w:lineRule="auto"/>
        <w:ind w:firstLine="480"/>
        <w:jc w:val="left"/>
        <w:rPr>
          <w:rFonts w:hint="eastAsia" w:ascii="宋体" w:hAnsi="宋体" w:cs="宋体"/>
          <w:color w:val="000000"/>
          <w:kern w:val="0"/>
          <w:sz w:val="24"/>
        </w:rPr>
      </w:pPr>
      <w:r>
        <w:rPr>
          <w:rFonts w:hint="eastAsia" w:ascii="宋体" w:hAnsi="宋体" w:cs="宋体"/>
          <w:color w:val="000000"/>
          <w:kern w:val="0"/>
          <w:sz w:val="24"/>
        </w:rPr>
        <w:t>省校、分校、工作站成立专门机构，负责毕业论文工作的领导、组织、落实和监管。</w:t>
      </w:r>
    </w:p>
    <w:p w14:paraId="7C277210">
      <w:pPr>
        <w:widowControl/>
        <w:spacing w:line="360" w:lineRule="auto"/>
        <w:ind w:firstLine="480"/>
        <w:jc w:val="left"/>
        <w:rPr>
          <w:rFonts w:hint="eastAsia" w:ascii="宋体" w:hAnsi="宋体" w:cs="宋体"/>
          <w:color w:val="000000"/>
          <w:kern w:val="0"/>
          <w:sz w:val="24"/>
        </w:rPr>
      </w:pPr>
      <w:r>
        <w:rPr>
          <w:rFonts w:hint="eastAsia" w:ascii="宋体" w:hAnsi="宋体" w:cs="宋体"/>
          <w:color w:val="000000"/>
          <w:kern w:val="0"/>
          <w:sz w:val="24"/>
        </w:rPr>
        <w:t>1、省校成立毕业论文指导委员会和专业毕业论文指导小组。</w:t>
      </w:r>
    </w:p>
    <w:p w14:paraId="104FD7D0">
      <w:pPr>
        <w:widowControl/>
        <w:spacing w:line="360" w:lineRule="auto"/>
        <w:ind w:firstLine="480"/>
        <w:jc w:val="left"/>
        <w:rPr>
          <w:rFonts w:hint="eastAsia" w:ascii="宋体" w:hAnsi="宋体" w:cs="宋体"/>
          <w:color w:val="000000"/>
          <w:kern w:val="0"/>
          <w:sz w:val="24"/>
        </w:rPr>
      </w:pPr>
      <w:r>
        <w:rPr>
          <w:rFonts w:hint="eastAsia" w:ascii="宋体" w:hAnsi="宋体" w:cs="宋体"/>
          <w:color w:val="000000"/>
          <w:kern w:val="0"/>
          <w:sz w:val="24"/>
        </w:rPr>
        <w:t>毕业论文指导委员会由</w:t>
      </w:r>
      <w:r>
        <w:rPr>
          <w:rFonts w:hint="eastAsia" w:ascii="宋体" w:hAnsi="宋体"/>
          <w:sz w:val="24"/>
        </w:rPr>
        <w:t>主管教学的校长任主任，教学管理部门主要负责人及各系主任等组成</w:t>
      </w:r>
      <w:r>
        <w:rPr>
          <w:rFonts w:hint="eastAsia"/>
          <w:sz w:val="24"/>
        </w:rPr>
        <w:t>。主要职责：</w:t>
      </w:r>
      <w:r>
        <w:rPr>
          <w:rFonts w:hint="eastAsia" w:ascii="宋体" w:hAnsi="宋体" w:cs="宋体"/>
          <w:color w:val="000000"/>
          <w:kern w:val="0"/>
          <w:sz w:val="24"/>
        </w:rPr>
        <w:t>负责指导全省开大系统毕业论文教学工作，接受并审议学生提出的毕业论文成绩的审议申请。</w:t>
      </w:r>
    </w:p>
    <w:p w14:paraId="6216EDC0">
      <w:pPr>
        <w:widowControl/>
        <w:spacing w:line="360" w:lineRule="auto"/>
        <w:ind w:firstLine="480"/>
        <w:jc w:val="left"/>
        <w:rPr>
          <w:rFonts w:ascii="宋体" w:hAnsi="宋体" w:cs="宋体"/>
          <w:color w:val="000000"/>
          <w:kern w:val="0"/>
          <w:sz w:val="24"/>
        </w:rPr>
      </w:pPr>
      <w:r>
        <w:rPr>
          <w:rFonts w:hint="eastAsia" w:ascii="宋体" w:hAnsi="宋体" w:cs="宋体"/>
          <w:color w:val="000000"/>
          <w:kern w:val="0"/>
          <w:sz w:val="24"/>
        </w:rPr>
        <w:t>教务处为毕业论文指导委员会的常设管理机构。</w:t>
      </w:r>
      <w:r>
        <w:rPr>
          <w:rFonts w:hint="eastAsia"/>
          <w:sz w:val="24"/>
        </w:rPr>
        <w:t>主要职责：</w:t>
      </w:r>
      <w:r>
        <w:rPr>
          <w:rFonts w:hint="eastAsia" w:ascii="宋体" w:hAnsi="宋体" w:cs="宋体"/>
          <w:color w:val="000000"/>
          <w:kern w:val="0"/>
          <w:sz w:val="24"/>
        </w:rPr>
        <w:t>根据国开有关文件，制定全省开大毕业论文工作各项实施方案和相关管理制度，部署毕业论文工作，组织对开大分校和工作站毕业论文工作进行指导、检查和评估。</w:t>
      </w:r>
    </w:p>
    <w:p w14:paraId="24ABB884">
      <w:pPr>
        <w:widowControl/>
        <w:spacing w:line="360" w:lineRule="auto"/>
        <w:ind w:firstLine="480"/>
        <w:jc w:val="left"/>
        <w:rPr>
          <w:rFonts w:hint="eastAsia" w:ascii="宋体" w:hAnsi="宋体" w:cs="宋体"/>
          <w:color w:val="000000"/>
          <w:kern w:val="0"/>
          <w:sz w:val="24"/>
        </w:rPr>
      </w:pPr>
      <w:r>
        <w:rPr>
          <w:rFonts w:hint="eastAsia" w:ascii="宋体" w:hAnsi="宋体" w:cs="宋体"/>
          <w:color w:val="000000"/>
          <w:kern w:val="0"/>
          <w:sz w:val="24"/>
        </w:rPr>
        <w:t>专业毕业论文指导小组</w:t>
      </w:r>
      <w:r>
        <w:rPr>
          <w:rFonts w:hint="eastAsia" w:ascii="宋体" w:hAnsi="宋体"/>
          <w:sz w:val="24"/>
        </w:rPr>
        <w:t>由专业负责人任组长，专业骨干教师参加。</w:t>
      </w:r>
      <w:r>
        <w:rPr>
          <w:rFonts w:hint="eastAsia" w:ascii="宋体" w:hAnsi="宋体" w:cs="宋体"/>
          <w:color w:val="000000"/>
          <w:kern w:val="0"/>
          <w:sz w:val="24"/>
        </w:rPr>
        <w:t>专业毕业论文指导小组</w:t>
      </w:r>
      <w:r>
        <w:rPr>
          <w:rFonts w:hint="eastAsia" w:ascii="宋体" w:hAnsi="宋体"/>
          <w:sz w:val="24"/>
        </w:rPr>
        <w:t>应在</w:t>
      </w:r>
      <w:r>
        <w:rPr>
          <w:rFonts w:hint="eastAsia" w:ascii="宋体" w:hAnsi="宋体" w:cs="宋体"/>
          <w:color w:val="000000"/>
          <w:kern w:val="0"/>
          <w:sz w:val="24"/>
        </w:rPr>
        <w:t>毕业论文指导委员会</w:t>
      </w:r>
      <w:r>
        <w:rPr>
          <w:rFonts w:hint="eastAsia" w:ascii="宋体" w:hAnsi="宋体"/>
          <w:sz w:val="24"/>
        </w:rPr>
        <w:t>指导下开展工作。</w:t>
      </w:r>
      <w:r>
        <w:rPr>
          <w:rFonts w:hint="eastAsia"/>
          <w:sz w:val="24"/>
        </w:rPr>
        <w:t>主要职责：</w:t>
      </w:r>
      <w:r>
        <w:rPr>
          <w:rFonts w:hint="eastAsia" w:ascii="宋体" w:hAnsi="宋体" w:cs="宋体"/>
          <w:color w:val="000000"/>
          <w:kern w:val="0"/>
          <w:sz w:val="24"/>
        </w:rPr>
        <w:t>制定专业毕业论文实施细则、制作毕业论文教学资源、开展基层开大指导教师培训、审核毕业论文指导教师和答辩教师资格、分析和反馈毕业论文终审情况、对全省开大专业毕业论文工作进行指导和监控等。</w:t>
      </w:r>
    </w:p>
    <w:p w14:paraId="6AD26AA8">
      <w:pPr>
        <w:widowControl/>
        <w:spacing w:line="360" w:lineRule="auto"/>
        <w:ind w:firstLine="480"/>
        <w:jc w:val="left"/>
        <w:rPr>
          <w:rFonts w:hint="eastAsia" w:ascii="宋体" w:hAnsi="宋体" w:cs="宋体"/>
          <w:color w:val="000000"/>
          <w:kern w:val="0"/>
          <w:sz w:val="24"/>
        </w:rPr>
      </w:pPr>
      <w:r>
        <w:rPr>
          <w:rFonts w:hint="eastAsia" w:ascii="宋体" w:hAnsi="宋体" w:cs="宋体"/>
          <w:color w:val="000000"/>
          <w:kern w:val="0"/>
          <w:sz w:val="24"/>
        </w:rPr>
        <w:t>2、开大分校、工作站成立毕业论文指导委员会和毕业论文指导小组。</w:t>
      </w:r>
    </w:p>
    <w:p w14:paraId="25528C8B">
      <w:pPr>
        <w:widowControl/>
        <w:spacing w:line="360" w:lineRule="auto"/>
        <w:ind w:firstLine="480"/>
        <w:jc w:val="left"/>
        <w:rPr>
          <w:rFonts w:hint="eastAsia" w:ascii="宋体" w:hAnsi="宋体" w:cs="宋体"/>
          <w:color w:val="000000"/>
          <w:kern w:val="0"/>
          <w:sz w:val="24"/>
        </w:rPr>
      </w:pPr>
      <w:r>
        <w:rPr>
          <w:rFonts w:hint="eastAsia" w:ascii="宋体" w:hAnsi="宋体" w:cs="宋体"/>
          <w:color w:val="000000"/>
          <w:kern w:val="0"/>
          <w:sz w:val="24"/>
        </w:rPr>
        <w:t>开大分校、工作站负责根据国开、省开大的工作部署和有关文件要求，制定适合当地实际的毕业论文工作各项实施办法，部署和落实本地毕业论文工作。</w:t>
      </w:r>
    </w:p>
    <w:p w14:paraId="6AE67E58">
      <w:pPr>
        <w:widowControl/>
        <w:spacing w:line="360" w:lineRule="auto"/>
        <w:ind w:firstLine="480"/>
        <w:jc w:val="left"/>
        <w:rPr>
          <w:rFonts w:hint="eastAsia" w:ascii="宋体" w:hAnsi="宋体" w:cs="宋体"/>
          <w:color w:val="000000"/>
          <w:kern w:val="0"/>
          <w:sz w:val="24"/>
        </w:rPr>
      </w:pPr>
      <w:r>
        <w:rPr>
          <w:rFonts w:hint="eastAsia" w:ascii="宋体" w:hAnsi="宋体" w:cs="宋体"/>
          <w:color w:val="000000"/>
          <w:kern w:val="0"/>
          <w:sz w:val="24"/>
        </w:rPr>
        <w:t>开大分校、工作站毕业论文指导委员会，由开大分校、工作站主管教学的校长、站长或负责人任组长，开大分校、工作站的教学部门主要负责人参加。负责指导当地的毕业论文教学工作，受理学生对于毕业论文成绩的审议申请并及时上报上级毕业论文指导委员会。</w:t>
      </w:r>
    </w:p>
    <w:p w14:paraId="2789EB9C">
      <w:pPr>
        <w:widowControl/>
        <w:spacing w:line="360" w:lineRule="auto"/>
        <w:ind w:firstLine="480"/>
        <w:jc w:val="left"/>
        <w:rPr>
          <w:rFonts w:hint="eastAsia" w:ascii="宋体" w:hAnsi="宋体" w:cs="宋体"/>
          <w:color w:val="000000"/>
          <w:kern w:val="0"/>
          <w:sz w:val="24"/>
        </w:rPr>
      </w:pPr>
      <w:r>
        <w:rPr>
          <w:rFonts w:hint="eastAsia" w:ascii="宋体" w:hAnsi="宋体" w:cs="宋体"/>
          <w:color w:val="000000"/>
          <w:kern w:val="0"/>
          <w:sz w:val="24"/>
        </w:rPr>
        <w:t>开大分校、工作站毕业论文指导小组，由教学管理部门负责人任组长，专职骨干教师和管理人员参加。负责根据国开、省开大毕业论文各项要求和当地实际，制定毕业论文具体工作计划，对毕业论文各环节工作进展和实施情况进行检查和监控。</w:t>
      </w:r>
    </w:p>
    <w:p w14:paraId="71207A0A">
      <w:pPr>
        <w:widowControl/>
        <w:spacing w:line="360" w:lineRule="auto"/>
        <w:ind w:firstLine="480"/>
        <w:jc w:val="left"/>
        <w:rPr>
          <w:rFonts w:hint="eastAsia"/>
          <w:sz w:val="24"/>
        </w:rPr>
      </w:pPr>
      <w:r>
        <w:rPr>
          <w:rFonts w:hint="eastAsia" w:ascii="宋体" w:hAnsi="宋体" w:cs="宋体"/>
          <w:color w:val="000000"/>
          <w:kern w:val="0"/>
          <w:sz w:val="24"/>
        </w:rPr>
        <w:t>3、</w:t>
      </w:r>
      <w:r>
        <w:rPr>
          <w:rFonts w:hint="eastAsia"/>
          <w:sz w:val="24"/>
        </w:rPr>
        <w:t>福建开大论文系统平台。</w:t>
      </w:r>
    </w:p>
    <w:p w14:paraId="05F6BE95">
      <w:pPr>
        <w:widowControl/>
        <w:spacing w:line="360" w:lineRule="auto"/>
        <w:ind w:firstLine="480"/>
        <w:jc w:val="left"/>
        <w:rPr>
          <w:rFonts w:hint="eastAsia"/>
          <w:sz w:val="24"/>
        </w:rPr>
      </w:pPr>
      <w:r>
        <w:rPr>
          <w:rFonts w:hint="eastAsia"/>
          <w:sz w:val="24"/>
        </w:rPr>
        <w:t>毕业论文</w:t>
      </w:r>
      <w:r>
        <w:rPr>
          <w:sz w:val="24"/>
        </w:rPr>
        <w:t>（设计）</w:t>
      </w:r>
      <w:r>
        <w:rPr>
          <w:rFonts w:hint="eastAsia"/>
          <w:sz w:val="24"/>
        </w:rPr>
        <w:t>指导教师资格审核、毕业论文</w:t>
      </w:r>
      <w:r>
        <w:rPr>
          <w:sz w:val="24"/>
        </w:rPr>
        <w:t>（设计）</w:t>
      </w:r>
      <w:r>
        <w:rPr>
          <w:rFonts w:hint="eastAsia"/>
          <w:sz w:val="24"/>
        </w:rPr>
        <w:t>选题审核、毕业论文过程指导、学位论文答辩申报等环节均实行在线操作，论文系统平台网址：</w:t>
      </w:r>
      <w:r>
        <w:fldChar w:fldCharType="begin"/>
      </w:r>
      <w:r>
        <w:instrText xml:space="preserve"> HYPERLINK "http://lw.fjou.edu.cn/login/cas" </w:instrText>
      </w:r>
      <w:r>
        <w:fldChar w:fldCharType="separate"/>
      </w:r>
      <w:r>
        <w:rPr>
          <w:rStyle w:val="15"/>
          <w:sz w:val="24"/>
        </w:rPr>
        <w:t>http://lw.fjou.edu.cn/login/cas</w:t>
      </w:r>
      <w:r>
        <w:rPr>
          <w:rStyle w:val="15"/>
          <w:sz w:val="24"/>
        </w:rPr>
        <w:fldChar w:fldCharType="end"/>
      </w:r>
      <w:r>
        <w:rPr>
          <w:rFonts w:hint="eastAsia"/>
          <w:sz w:val="24"/>
        </w:rPr>
        <w:t>。各分校、教学点根据平台各批次时间节点要求完成各环节任务。</w:t>
      </w:r>
    </w:p>
    <w:p w14:paraId="0878C9DE">
      <w:pPr>
        <w:widowControl/>
        <w:spacing w:line="360" w:lineRule="auto"/>
        <w:ind w:left="480"/>
        <w:jc w:val="left"/>
        <w:rPr>
          <w:b/>
          <w:sz w:val="24"/>
        </w:rPr>
      </w:pPr>
      <w:bookmarkStart w:id="0" w:name="_Hlk191981783"/>
      <w:r>
        <w:rPr>
          <w:rFonts w:hint="eastAsia"/>
          <w:b/>
          <w:sz w:val="24"/>
        </w:rPr>
        <w:t>二、毕业论文写作要求</w:t>
      </w:r>
    </w:p>
    <w:bookmarkEnd w:id="0"/>
    <w:p w14:paraId="42B02259">
      <w:pPr>
        <w:spacing w:line="360" w:lineRule="auto"/>
        <w:ind w:firstLine="480" w:firstLineChars="200"/>
        <w:rPr>
          <w:rFonts w:hint="eastAsia"/>
          <w:sz w:val="24"/>
          <w:szCs w:val="24"/>
        </w:rPr>
      </w:pPr>
      <w:r>
        <w:rPr>
          <w:rFonts w:hint="eastAsia"/>
          <w:sz w:val="24"/>
          <w:szCs w:val="24"/>
        </w:rPr>
        <w:t>1、凡修完本专业全部必修课程，已修课程学分达到全部课程总学分80%以上，专升本学生还须取得补专课程的全部学分，其它实践性教学环节均已完成并获得相应学分的学生，经申请可参加毕业论文实践教学。</w:t>
      </w:r>
    </w:p>
    <w:p w14:paraId="4EE6193F">
      <w:pPr>
        <w:spacing w:line="360" w:lineRule="auto"/>
        <w:ind w:firstLine="480" w:firstLineChars="200"/>
        <w:rPr>
          <w:sz w:val="24"/>
          <w:szCs w:val="24"/>
        </w:rPr>
      </w:pPr>
      <w:r>
        <w:rPr>
          <w:rFonts w:hint="eastAsia"/>
          <w:sz w:val="24"/>
          <w:szCs w:val="24"/>
        </w:rPr>
        <w:t>2、毕业论文的写作周期(自确定选题、安排指导教师始，到论文定稿止)不得少于3个月。</w:t>
      </w:r>
    </w:p>
    <w:p w14:paraId="1CE5072B">
      <w:pPr>
        <w:spacing w:line="360" w:lineRule="auto"/>
        <w:ind w:firstLine="480" w:firstLineChars="200"/>
        <w:rPr>
          <w:sz w:val="24"/>
          <w:szCs w:val="24"/>
        </w:rPr>
      </w:pPr>
      <w:r>
        <w:rPr>
          <w:sz w:val="24"/>
          <w:szCs w:val="24"/>
        </w:rPr>
        <w:t>3</w:t>
      </w:r>
      <w:r>
        <w:rPr>
          <w:rFonts w:hint="eastAsia"/>
          <w:sz w:val="24"/>
          <w:szCs w:val="24"/>
        </w:rPr>
        <w:t>、学生应在实事求是、深入实际的基础上，运用所学知识，独立完成具有一定质量的毕业论文。毕业论文观点正确、材料翔实、结构合理、语言通顺。</w:t>
      </w:r>
    </w:p>
    <w:p w14:paraId="1950B4F8">
      <w:pPr>
        <w:widowControl/>
        <w:spacing w:line="360" w:lineRule="auto"/>
        <w:ind w:firstLine="480" w:firstLineChars="200"/>
        <w:jc w:val="left"/>
        <w:rPr>
          <w:rFonts w:hint="eastAsia" w:ascii="宋体" w:hAnsi="宋体" w:cs="宋体"/>
          <w:color w:val="000000"/>
          <w:kern w:val="0"/>
          <w:sz w:val="24"/>
        </w:rPr>
      </w:pPr>
      <w:r>
        <w:rPr>
          <w:sz w:val="24"/>
          <w:szCs w:val="24"/>
        </w:rPr>
        <w:t>4</w:t>
      </w:r>
      <w:r>
        <w:rPr>
          <w:rFonts w:hint="eastAsia"/>
          <w:sz w:val="24"/>
          <w:szCs w:val="24"/>
        </w:rPr>
        <w:t>、毕业论文选题应在所学专业范围以内，其形式为学术论文。</w:t>
      </w:r>
      <w:r>
        <w:rPr>
          <w:rFonts w:ascii="宋体" w:hAnsi="宋体" w:cs="宋体"/>
          <w:b/>
          <w:bCs/>
          <w:color w:val="000000"/>
          <w:kern w:val="0"/>
          <w:sz w:val="24"/>
        </w:rPr>
        <w:t>调查报告、工作总结及文学作品等各类非学术文体的文章不能作为毕业论文提出。</w:t>
      </w:r>
    </w:p>
    <w:p w14:paraId="483B5859">
      <w:pPr>
        <w:spacing w:line="360" w:lineRule="auto"/>
        <w:ind w:firstLine="480" w:firstLineChars="200"/>
        <w:rPr>
          <w:sz w:val="24"/>
          <w:szCs w:val="24"/>
        </w:rPr>
      </w:pPr>
      <w:r>
        <w:rPr>
          <w:sz w:val="24"/>
          <w:szCs w:val="24"/>
        </w:rPr>
        <w:t>5</w:t>
      </w:r>
      <w:r>
        <w:rPr>
          <w:rFonts w:hint="eastAsia"/>
          <w:sz w:val="24"/>
          <w:szCs w:val="24"/>
        </w:rPr>
        <w:t>、毕业论文字数要求不少于</w:t>
      </w:r>
      <w:r>
        <w:rPr>
          <w:b/>
          <w:bCs/>
          <w:sz w:val="24"/>
          <w:szCs w:val="24"/>
        </w:rPr>
        <w:t>6000</w:t>
      </w:r>
      <w:r>
        <w:rPr>
          <w:rFonts w:hint="eastAsia"/>
          <w:sz w:val="24"/>
          <w:szCs w:val="24"/>
        </w:rPr>
        <w:t>字，正文前必须附有目录、摘要（约</w:t>
      </w:r>
      <w:r>
        <w:rPr>
          <w:sz w:val="24"/>
          <w:szCs w:val="24"/>
        </w:rPr>
        <w:t>300</w:t>
      </w:r>
      <w:r>
        <w:rPr>
          <w:rFonts w:hint="eastAsia"/>
          <w:sz w:val="24"/>
          <w:szCs w:val="24"/>
        </w:rPr>
        <w:t>字</w:t>
      </w:r>
      <w:r>
        <w:rPr>
          <w:sz w:val="24"/>
          <w:szCs w:val="24"/>
        </w:rPr>
        <w:t>）和关键词（</w:t>
      </w:r>
      <w:r>
        <w:rPr>
          <w:rFonts w:hint="eastAsia"/>
          <w:sz w:val="24"/>
          <w:szCs w:val="24"/>
        </w:rPr>
        <w:t>3—5 个</w:t>
      </w:r>
      <w:r>
        <w:rPr>
          <w:sz w:val="24"/>
          <w:szCs w:val="24"/>
        </w:rPr>
        <w:t>），结尾要有参考文献。</w:t>
      </w:r>
    </w:p>
    <w:p w14:paraId="27B92866">
      <w:pPr>
        <w:spacing w:line="360" w:lineRule="auto"/>
        <w:ind w:firstLine="480" w:firstLineChars="200"/>
        <w:rPr>
          <w:sz w:val="24"/>
          <w:szCs w:val="24"/>
        </w:rPr>
      </w:pPr>
      <w:r>
        <w:rPr>
          <w:sz w:val="24"/>
          <w:szCs w:val="24"/>
        </w:rPr>
        <w:t>6</w:t>
      </w:r>
      <w:r>
        <w:rPr>
          <w:rFonts w:hint="eastAsia"/>
          <w:sz w:val="24"/>
          <w:szCs w:val="24"/>
        </w:rPr>
        <w:t>、学生要在指导教师的指导下独立完成毕业论文的写作，可以借鉴网络、书刊等资料，但杜绝一切抄袭现象，一经发现，按不及格处理</w:t>
      </w:r>
      <w:r>
        <w:rPr>
          <w:rFonts w:hint="eastAsia"/>
          <w:b/>
          <w:bCs/>
          <w:sz w:val="24"/>
          <w:szCs w:val="24"/>
        </w:rPr>
        <w:t>（若抄袭内容占全文3</w:t>
      </w:r>
      <w:r>
        <w:rPr>
          <w:b/>
          <w:bCs/>
          <w:sz w:val="24"/>
          <w:szCs w:val="24"/>
        </w:rPr>
        <w:t>0%以上</w:t>
      </w:r>
      <w:r>
        <w:rPr>
          <w:rFonts w:hint="eastAsia"/>
          <w:b/>
          <w:bCs/>
          <w:sz w:val="24"/>
          <w:szCs w:val="24"/>
        </w:rPr>
        <w:t>则论文</w:t>
      </w:r>
      <w:r>
        <w:rPr>
          <w:b/>
          <w:bCs/>
          <w:sz w:val="24"/>
          <w:szCs w:val="24"/>
        </w:rPr>
        <w:t>成绩</w:t>
      </w:r>
      <w:r>
        <w:rPr>
          <w:rFonts w:hint="eastAsia"/>
          <w:b/>
          <w:bCs/>
          <w:sz w:val="24"/>
          <w:szCs w:val="24"/>
        </w:rPr>
        <w:t>为</w:t>
      </w:r>
      <w:r>
        <w:rPr>
          <w:b/>
          <w:bCs/>
          <w:sz w:val="24"/>
          <w:szCs w:val="24"/>
        </w:rPr>
        <w:t>不及格</w:t>
      </w:r>
      <w:r>
        <w:rPr>
          <w:rFonts w:hint="eastAsia"/>
          <w:b/>
          <w:bCs/>
          <w:sz w:val="24"/>
          <w:szCs w:val="24"/>
        </w:rPr>
        <w:t>）</w:t>
      </w:r>
      <w:r>
        <w:rPr>
          <w:rFonts w:hint="eastAsia"/>
          <w:sz w:val="24"/>
          <w:szCs w:val="24"/>
        </w:rPr>
        <w:t>。</w:t>
      </w:r>
    </w:p>
    <w:p w14:paraId="054F9146">
      <w:pPr>
        <w:spacing w:line="360" w:lineRule="auto"/>
        <w:ind w:firstLine="480" w:firstLineChars="200"/>
        <w:rPr>
          <w:sz w:val="24"/>
          <w:szCs w:val="24"/>
        </w:rPr>
      </w:pPr>
      <w:r>
        <w:rPr>
          <w:sz w:val="24"/>
          <w:szCs w:val="24"/>
        </w:rPr>
        <w:t>7</w:t>
      </w:r>
      <w:r>
        <w:rPr>
          <w:rFonts w:hint="eastAsia"/>
          <w:sz w:val="24"/>
          <w:szCs w:val="24"/>
        </w:rPr>
        <w:t>、论文要求在计算机上输入、排版与打印。论文打印用</w:t>
      </w:r>
      <w:r>
        <w:rPr>
          <w:sz w:val="24"/>
          <w:szCs w:val="24"/>
        </w:rPr>
        <w:t>A4</w:t>
      </w:r>
      <w:r>
        <w:rPr>
          <w:rFonts w:hint="eastAsia"/>
          <w:sz w:val="24"/>
          <w:szCs w:val="24"/>
        </w:rPr>
        <w:t>纸，双面打印，文稿一律左侧装订。</w:t>
      </w:r>
    </w:p>
    <w:p w14:paraId="5884D117">
      <w:pPr>
        <w:spacing w:line="360" w:lineRule="auto"/>
        <w:ind w:firstLine="480" w:firstLineChars="200"/>
        <w:rPr>
          <w:sz w:val="24"/>
          <w:szCs w:val="24"/>
        </w:rPr>
      </w:pPr>
      <w:r>
        <w:rPr>
          <w:sz w:val="24"/>
          <w:szCs w:val="24"/>
        </w:rPr>
        <w:t>8</w:t>
      </w:r>
      <w:r>
        <w:rPr>
          <w:rFonts w:hint="eastAsia"/>
          <w:sz w:val="24"/>
          <w:szCs w:val="24"/>
        </w:rPr>
        <w:t>、格式要求：</w:t>
      </w:r>
    </w:p>
    <w:p w14:paraId="7A565511">
      <w:pPr>
        <w:spacing w:line="360" w:lineRule="auto"/>
        <w:ind w:firstLine="480" w:firstLineChars="200"/>
        <w:rPr>
          <w:b/>
          <w:bCs/>
          <w:sz w:val="24"/>
          <w:szCs w:val="24"/>
        </w:rPr>
      </w:pPr>
      <w:r>
        <w:rPr>
          <w:rFonts w:hint="eastAsia"/>
          <w:sz w:val="24"/>
          <w:szCs w:val="24"/>
        </w:rPr>
        <w:t>（1）</w:t>
      </w:r>
      <w:r>
        <w:rPr>
          <w:rFonts w:hint="eastAsia"/>
          <w:b/>
          <w:sz w:val="24"/>
          <w:szCs w:val="24"/>
        </w:rPr>
        <w:t>非学位论文格式，</w:t>
      </w:r>
      <w:r>
        <w:rPr>
          <w:b/>
          <w:sz w:val="24"/>
          <w:szCs w:val="24"/>
        </w:rPr>
        <w:t>见</w:t>
      </w:r>
      <w:r>
        <w:rPr>
          <w:rFonts w:hint="eastAsia"/>
          <w:b/>
          <w:bCs/>
          <w:sz w:val="24"/>
          <w:szCs w:val="24"/>
        </w:rPr>
        <w:t>附件</w:t>
      </w:r>
      <w:r>
        <w:rPr>
          <w:b/>
          <w:bCs/>
          <w:sz w:val="24"/>
          <w:szCs w:val="24"/>
        </w:rPr>
        <w:t>1</w:t>
      </w:r>
    </w:p>
    <w:p w14:paraId="5D0A54BA">
      <w:pPr>
        <w:spacing w:line="360" w:lineRule="auto"/>
        <w:ind w:firstLine="480" w:firstLineChars="200"/>
        <w:rPr>
          <w:b/>
          <w:bCs/>
          <w:sz w:val="24"/>
          <w:szCs w:val="24"/>
        </w:rPr>
      </w:pPr>
      <w:r>
        <w:rPr>
          <w:rFonts w:hint="eastAsia"/>
          <w:bCs/>
          <w:sz w:val="24"/>
          <w:szCs w:val="24"/>
        </w:rPr>
        <w:t>（2</w:t>
      </w:r>
      <w:r>
        <w:rPr>
          <w:bCs/>
          <w:sz w:val="24"/>
          <w:szCs w:val="24"/>
        </w:rPr>
        <w:t>）</w:t>
      </w:r>
      <w:r>
        <w:rPr>
          <w:b/>
          <w:bCs/>
          <w:sz w:val="24"/>
          <w:szCs w:val="24"/>
        </w:rPr>
        <w:t>学位论文格式</w:t>
      </w:r>
      <w:r>
        <w:rPr>
          <w:rFonts w:hint="eastAsia"/>
          <w:b/>
          <w:bCs/>
          <w:sz w:val="24"/>
          <w:szCs w:val="24"/>
        </w:rPr>
        <w:t>，</w:t>
      </w:r>
      <w:r>
        <w:rPr>
          <w:b/>
          <w:bCs/>
          <w:sz w:val="24"/>
          <w:szCs w:val="24"/>
        </w:rPr>
        <w:t>见附件2</w:t>
      </w:r>
    </w:p>
    <w:p w14:paraId="2E1B254D">
      <w:pPr>
        <w:spacing w:line="360" w:lineRule="auto"/>
        <w:ind w:firstLine="480" w:firstLineChars="200"/>
        <w:rPr>
          <w:b/>
          <w:sz w:val="24"/>
          <w:szCs w:val="24"/>
        </w:rPr>
      </w:pPr>
      <w:r>
        <w:rPr>
          <w:rFonts w:hint="eastAsia"/>
          <w:sz w:val="24"/>
          <w:szCs w:val="24"/>
        </w:rPr>
        <w:t>（3）</w:t>
      </w:r>
      <w:r>
        <w:rPr>
          <w:rFonts w:hint="eastAsia"/>
          <w:b/>
          <w:sz w:val="24"/>
          <w:szCs w:val="24"/>
        </w:rPr>
        <w:t>非学位论文评审表见附件</w:t>
      </w:r>
      <w:r>
        <w:rPr>
          <w:b/>
          <w:sz w:val="24"/>
          <w:szCs w:val="24"/>
        </w:rPr>
        <w:t>3</w:t>
      </w:r>
    </w:p>
    <w:p w14:paraId="6272CD51">
      <w:pPr>
        <w:spacing w:line="360" w:lineRule="auto"/>
        <w:ind w:firstLine="480" w:firstLineChars="200"/>
        <w:rPr>
          <w:b/>
          <w:sz w:val="24"/>
          <w:szCs w:val="24"/>
        </w:rPr>
      </w:pPr>
      <w:r>
        <w:rPr>
          <w:rFonts w:hint="eastAsia"/>
          <w:sz w:val="24"/>
          <w:szCs w:val="24"/>
        </w:rPr>
        <w:t>（4）</w:t>
      </w:r>
      <w:r>
        <w:rPr>
          <w:b/>
          <w:sz w:val="24"/>
          <w:szCs w:val="24"/>
        </w:rPr>
        <w:t>学位论文评审表见附件4</w:t>
      </w:r>
    </w:p>
    <w:p w14:paraId="65028E54">
      <w:pPr>
        <w:spacing w:line="360" w:lineRule="auto"/>
        <w:ind w:firstLine="482" w:firstLineChars="200"/>
        <w:rPr>
          <w:rFonts w:hint="eastAsia"/>
          <w:b/>
          <w:bCs/>
          <w:sz w:val="24"/>
          <w:szCs w:val="24"/>
        </w:rPr>
      </w:pPr>
    </w:p>
    <w:p w14:paraId="70613E9B">
      <w:pPr>
        <w:widowControl/>
        <w:spacing w:line="360" w:lineRule="auto"/>
        <w:ind w:left="480"/>
        <w:jc w:val="left"/>
        <w:rPr>
          <w:b/>
          <w:sz w:val="24"/>
        </w:rPr>
      </w:pPr>
      <w:r>
        <w:rPr>
          <w:rFonts w:hint="eastAsia"/>
          <w:b/>
          <w:sz w:val="24"/>
        </w:rPr>
        <w:t>三、毕业</w:t>
      </w:r>
      <w:r>
        <w:rPr>
          <w:b/>
          <w:sz w:val="24"/>
        </w:rPr>
        <w:t>论文</w:t>
      </w:r>
      <w:r>
        <w:rPr>
          <w:rFonts w:hint="eastAsia"/>
          <w:b/>
          <w:sz w:val="24"/>
        </w:rPr>
        <w:t>写作</w:t>
      </w:r>
      <w:r>
        <w:rPr>
          <w:b/>
          <w:sz w:val="24"/>
        </w:rPr>
        <w:t>指导</w:t>
      </w:r>
    </w:p>
    <w:p w14:paraId="5DABB4BF">
      <w:pPr>
        <w:spacing w:line="360" w:lineRule="auto"/>
        <w:ind w:firstLine="480" w:firstLineChars="200"/>
        <w:rPr>
          <w:sz w:val="24"/>
          <w:szCs w:val="24"/>
        </w:rPr>
      </w:pPr>
      <w:r>
        <w:rPr>
          <w:rFonts w:hint="eastAsia"/>
          <w:sz w:val="24"/>
          <w:szCs w:val="24"/>
        </w:rPr>
        <w:t>各学习中心指定专业教师担任论文指导教师，指导学生完成论文的写作，记录指导过程，给出初评成绩及评语。</w:t>
      </w:r>
    </w:p>
    <w:p w14:paraId="1F41E7B8">
      <w:pPr>
        <w:spacing w:line="360" w:lineRule="auto"/>
        <w:ind w:firstLine="480" w:firstLineChars="200"/>
        <w:rPr>
          <w:sz w:val="24"/>
          <w:szCs w:val="24"/>
        </w:rPr>
      </w:pPr>
      <w:r>
        <w:rPr>
          <w:rFonts w:hint="eastAsia"/>
          <w:sz w:val="24"/>
          <w:szCs w:val="24"/>
        </w:rPr>
        <w:t>1.</w:t>
      </w:r>
      <w:r>
        <w:rPr>
          <w:rFonts w:hint="eastAsia"/>
        </w:rPr>
        <w:t xml:space="preserve"> </w:t>
      </w:r>
      <w:r>
        <w:rPr>
          <w:rFonts w:hint="eastAsia"/>
          <w:sz w:val="24"/>
          <w:szCs w:val="24"/>
        </w:rPr>
        <w:t>指导教师任职资格</w:t>
      </w:r>
    </w:p>
    <w:p w14:paraId="3E6339A3">
      <w:pPr>
        <w:spacing w:line="360" w:lineRule="auto"/>
        <w:ind w:firstLine="480" w:firstLineChars="200"/>
        <w:rPr>
          <w:sz w:val="24"/>
          <w:szCs w:val="24"/>
        </w:rPr>
      </w:pPr>
      <w:r>
        <w:rPr>
          <w:rFonts w:hint="eastAsia"/>
          <w:sz w:val="24"/>
          <w:szCs w:val="24"/>
        </w:rPr>
        <w:t>（1）具有认真的工作态度、丰富的专业知识和较高的业务水平熟悉教学情况;</w:t>
      </w:r>
    </w:p>
    <w:p w14:paraId="7FA6FA1A">
      <w:pPr>
        <w:spacing w:line="360" w:lineRule="auto"/>
        <w:ind w:firstLine="480" w:firstLineChars="200"/>
        <w:rPr>
          <w:sz w:val="24"/>
          <w:szCs w:val="24"/>
        </w:rPr>
      </w:pPr>
      <w:r>
        <w:rPr>
          <w:rFonts w:hint="eastAsia"/>
          <w:sz w:val="24"/>
          <w:szCs w:val="24"/>
        </w:rPr>
        <w:t>（2）具有相应专业本科及以上学历，且有中级及以上专业技术职称。</w:t>
      </w:r>
    </w:p>
    <w:p w14:paraId="43D5BA1F">
      <w:pPr>
        <w:spacing w:line="360" w:lineRule="auto"/>
        <w:ind w:firstLine="480" w:firstLineChars="200"/>
        <w:rPr>
          <w:sz w:val="24"/>
          <w:szCs w:val="24"/>
        </w:rPr>
      </w:pPr>
      <w:r>
        <w:rPr>
          <w:sz w:val="24"/>
          <w:szCs w:val="24"/>
        </w:rPr>
        <w:t>2.</w:t>
      </w:r>
      <w:r>
        <w:rPr>
          <w:rFonts w:hint="eastAsia"/>
        </w:rPr>
        <w:t xml:space="preserve"> </w:t>
      </w:r>
      <w:r>
        <w:rPr>
          <w:rFonts w:hint="eastAsia"/>
          <w:sz w:val="24"/>
          <w:szCs w:val="24"/>
        </w:rPr>
        <w:t>指导教师职责</w:t>
      </w:r>
    </w:p>
    <w:p w14:paraId="795208B5">
      <w:pPr>
        <w:spacing w:line="360" w:lineRule="auto"/>
        <w:ind w:firstLine="480" w:firstLineChars="200"/>
        <w:rPr>
          <w:sz w:val="24"/>
          <w:szCs w:val="24"/>
        </w:rPr>
      </w:pPr>
      <w:r>
        <w:rPr>
          <w:rFonts w:hint="eastAsia"/>
          <w:sz w:val="24"/>
          <w:szCs w:val="24"/>
        </w:rPr>
        <w:t xml:space="preserve">（1）根据论文写作的具体要求和安排，制定详细工作计划; </w:t>
      </w:r>
    </w:p>
    <w:p w14:paraId="5B24F29A">
      <w:pPr>
        <w:spacing w:line="360" w:lineRule="auto"/>
        <w:ind w:firstLine="480" w:firstLineChars="200"/>
        <w:rPr>
          <w:sz w:val="24"/>
          <w:szCs w:val="24"/>
        </w:rPr>
      </w:pPr>
      <w:r>
        <w:rPr>
          <w:rFonts w:hint="eastAsia"/>
          <w:sz w:val="24"/>
          <w:szCs w:val="24"/>
        </w:rPr>
        <w:t xml:space="preserve">（2）指导学生正确选题，帮助学生制订写作计划，指导学生进行文献检索，推荐参考书目和资料并指导阅读; </w:t>
      </w:r>
    </w:p>
    <w:p w14:paraId="337BD8AF">
      <w:pPr>
        <w:spacing w:line="360" w:lineRule="auto"/>
        <w:ind w:firstLine="480" w:firstLineChars="200"/>
        <w:rPr>
          <w:sz w:val="24"/>
          <w:szCs w:val="24"/>
        </w:rPr>
      </w:pPr>
      <w:r>
        <w:rPr>
          <w:rFonts w:hint="eastAsia"/>
          <w:sz w:val="24"/>
          <w:szCs w:val="24"/>
        </w:rPr>
        <w:t>（3）对论文写作全过程的各个阶段（选题及开题、初稿、修改稿、终稿）进行指导，审阅论文提出修改意见，帮助学生解决写作中的有关问题。每个阶段指导不少于1次，每次指导需进行较详细记录和评语，总计指导时间不少于8小时;</w:t>
      </w:r>
    </w:p>
    <w:p w14:paraId="31348A24">
      <w:pPr>
        <w:spacing w:line="360" w:lineRule="auto"/>
        <w:ind w:firstLine="480" w:firstLineChars="200"/>
        <w:rPr>
          <w:sz w:val="24"/>
          <w:szCs w:val="24"/>
        </w:rPr>
      </w:pPr>
      <w:r>
        <w:rPr>
          <w:sz w:val="24"/>
          <w:szCs w:val="24"/>
        </w:rPr>
        <w:t>（</w:t>
      </w:r>
      <w:r>
        <w:rPr>
          <w:rFonts w:hint="eastAsia"/>
          <w:sz w:val="24"/>
          <w:szCs w:val="24"/>
        </w:rPr>
        <w:t>4</w:t>
      </w:r>
      <w:r>
        <w:rPr>
          <w:sz w:val="24"/>
          <w:szCs w:val="24"/>
        </w:rPr>
        <w:t>）</w:t>
      </w:r>
      <w:r>
        <w:rPr>
          <w:rFonts w:hint="eastAsia"/>
          <w:sz w:val="24"/>
          <w:szCs w:val="24"/>
        </w:rPr>
        <w:t>监督检查学生独立完成论文写作情况，鉴别并制止抄袭、剽窃等造假行为。指导教师发现论文造假，须要求学生重新写作论文如学生不改正，指导教师有权终止指导，论文初评成绩记零分。</w:t>
      </w:r>
    </w:p>
    <w:p w14:paraId="47A45561">
      <w:pPr>
        <w:spacing w:line="360" w:lineRule="auto"/>
        <w:ind w:firstLine="480" w:firstLineChars="200"/>
        <w:rPr>
          <w:sz w:val="24"/>
          <w:szCs w:val="24"/>
        </w:rPr>
      </w:pPr>
      <w:r>
        <w:rPr>
          <w:rFonts w:hint="eastAsia"/>
          <w:sz w:val="24"/>
          <w:szCs w:val="24"/>
        </w:rPr>
        <w:t>3.</w:t>
      </w:r>
      <w:r>
        <w:rPr>
          <w:rFonts w:hint="eastAsia"/>
        </w:rPr>
        <w:t xml:space="preserve"> </w:t>
      </w:r>
      <w:r>
        <w:rPr>
          <w:rFonts w:hint="eastAsia"/>
          <w:sz w:val="24"/>
          <w:szCs w:val="24"/>
        </w:rPr>
        <w:t>指导教师工作量</w:t>
      </w:r>
    </w:p>
    <w:p w14:paraId="066C3CF7">
      <w:pPr>
        <w:spacing w:line="360" w:lineRule="auto"/>
        <w:ind w:firstLine="480" w:firstLineChars="200"/>
        <w:rPr>
          <w:sz w:val="24"/>
          <w:szCs w:val="24"/>
        </w:rPr>
      </w:pPr>
      <w:r>
        <w:rPr>
          <w:rFonts w:hint="eastAsia"/>
          <w:sz w:val="24"/>
          <w:szCs w:val="24"/>
        </w:rPr>
        <w:t>专职教师同时指导的各类学生数一般每人不超过15人，兼职指导教师同时指导的各类学生数一般每人不超过10人。</w:t>
      </w:r>
    </w:p>
    <w:p w14:paraId="2D59DC6A">
      <w:pPr>
        <w:widowControl/>
        <w:spacing w:line="360" w:lineRule="auto"/>
        <w:ind w:left="480"/>
        <w:jc w:val="left"/>
        <w:rPr>
          <w:b/>
          <w:sz w:val="24"/>
        </w:rPr>
      </w:pPr>
      <w:r>
        <w:rPr>
          <w:rFonts w:hint="eastAsia"/>
          <w:b/>
          <w:sz w:val="24"/>
        </w:rPr>
        <w:t>四、毕业论文答辩</w:t>
      </w:r>
    </w:p>
    <w:p w14:paraId="6B69A98B">
      <w:pPr>
        <w:spacing w:line="360" w:lineRule="auto"/>
        <w:ind w:firstLine="480" w:firstLineChars="200"/>
        <w:rPr>
          <w:sz w:val="24"/>
          <w:szCs w:val="24"/>
        </w:rPr>
      </w:pPr>
      <w:r>
        <w:rPr>
          <w:rFonts w:hint="eastAsia"/>
          <w:sz w:val="24"/>
          <w:szCs w:val="24"/>
        </w:rPr>
        <w:t>申请</w:t>
      </w:r>
      <w:r>
        <w:rPr>
          <w:sz w:val="24"/>
          <w:szCs w:val="24"/>
        </w:rPr>
        <w:t>学位的</w:t>
      </w:r>
      <w:r>
        <w:rPr>
          <w:rFonts w:hint="eastAsia"/>
          <w:sz w:val="24"/>
          <w:szCs w:val="24"/>
        </w:rPr>
        <w:t>本科毕业生均应参加毕业论文答辩，答辩小组教师根据学生的论文质量和答辩情况给出评定成绩，论文综合成绩由答辩主持人负责。不申请</w:t>
      </w:r>
      <w:r>
        <w:rPr>
          <w:sz w:val="24"/>
          <w:szCs w:val="24"/>
        </w:rPr>
        <w:t>学位的本科毕业生不要求参加毕业论文答辩。</w:t>
      </w:r>
    </w:p>
    <w:p w14:paraId="0ED7D932">
      <w:pPr>
        <w:spacing w:line="360" w:lineRule="auto"/>
        <w:ind w:left="480"/>
        <w:rPr>
          <w:sz w:val="24"/>
        </w:rPr>
      </w:pPr>
      <w:r>
        <w:rPr>
          <w:rFonts w:hint="eastAsia"/>
          <w:sz w:val="24"/>
        </w:rPr>
        <w:t>1、答辩组织</w:t>
      </w:r>
    </w:p>
    <w:p w14:paraId="78578A40">
      <w:pPr>
        <w:widowControl/>
        <w:spacing w:line="360" w:lineRule="auto"/>
        <w:jc w:val="left"/>
        <w:rPr>
          <w:rFonts w:hint="eastAsia" w:ascii="宋体" w:hAnsi="宋体" w:cs="宋体"/>
          <w:color w:val="000000"/>
          <w:kern w:val="0"/>
          <w:sz w:val="24"/>
        </w:rPr>
      </w:pPr>
      <w:r>
        <w:rPr>
          <w:rFonts w:ascii="宋体" w:hAnsi="宋体" w:cs="宋体"/>
          <w:color w:val="000000"/>
          <w:kern w:val="0"/>
          <w:sz w:val="24"/>
        </w:rPr>
        <w:t>　</w:t>
      </w:r>
      <w:r>
        <w:rPr>
          <w:rFonts w:hint="eastAsia" w:ascii="宋体" w:hAnsi="宋体" w:cs="宋体"/>
          <w:color w:val="000000"/>
          <w:kern w:val="0"/>
          <w:sz w:val="24"/>
        </w:rPr>
        <w:t xml:space="preserve"> </w:t>
      </w:r>
      <w:r>
        <w:rPr>
          <w:rFonts w:ascii="宋体" w:hAnsi="宋体" w:cs="宋体"/>
          <w:color w:val="000000"/>
          <w:kern w:val="0"/>
          <w:sz w:val="24"/>
        </w:rPr>
        <w:t xml:space="preserve"> </w:t>
      </w:r>
      <w:r>
        <w:rPr>
          <w:rFonts w:hint="eastAsia" w:ascii="宋体" w:hAnsi="宋体" w:cs="宋体"/>
          <w:color w:val="000000"/>
          <w:kern w:val="0"/>
          <w:sz w:val="24"/>
        </w:rPr>
        <w:t>（1）</w:t>
      </w:r>
      <w:r>
        <w:rPr>
          <w:rFonts w:ascii="宋体" w:hAnsi="宋体" w:cs="宋体"/>
          <w:color w:val="000000"/>
          <w:kern w:val="0"/>
          <w:sz w:val="24"/>
        </w:rPr>
        <w:t>省</w:t>
      </w:r>
      <w:r>
        <w:rPr>
          <w:rFonts w:hint="eastAsia" w:ascii="宋体" w:hAnsi="宋体" w:cs="宋体"/>
          <w:color w:val="000000"/>
          <w:kern w:val="0"/>
          <w:sz w:val="24"/>
        </w:rPr>
        <w:t>开</w:t>
      </w:r>
      <w:r>
        <w:rPr>
          <w:rFonts w:ascii="宋体" w:hAnsi="宋体" w:cs="宋体"/>
          <w:color w:val="000000"/>
          <w:kern w:val="0"/>
          <w:sz w:val="24"/>
        </w:rPr>
        <w:t>大</w:t>
      </w:r>
      <w:r>
        <w:rPr>
          <w:rFonts w:hint="eastAsia" w:ascii="宋体" w:hAnsi="宋体" w:cs="宋体"/>
          <w:color w:val="000000"/>
          <w:kern w:val="0"/>
          <w:sz w:val="24"/>
        </w:rPr>
        <w:t>下发的本专业</w:t>
      </w:r>
      <w:r>
        <w:rPr>
          <w:rFonts w:ascii="宋体" w:hAnsi="宋体" w:cs="宋体"/>
          <w:color w:val="000000"/>
          <w:kern w:val="0"/>
          <w:sz w:val="24"/>
        </w:rPr>
        <w:t>毕业</w:t>
      </w:r>
      <w:r>
        <w:rPr>
          <w:rFonts w:hint="eastAsia" w:ascii="宋体" w:hAnsi="宋体" w:cs="宋体"/>
          <w:color w:val="000000"/>
          <w:kern w:val="0"/>
          <w:sz w:val="24"/>
        </w:rPr>
        <w:t>论文实施细则应</w:t>
      </w:r>
      <w:r>
        <w:rPr>
          <w:rFonts w:ascii="宋体" w:hAnsi="宋体" w:cs="宋体"/>
          <w:color w:val="000000"/>
          <w:kern w:val="0"/>
          <w:sz w:val="24"/>
        </w:rPr>
        <w:t>根据</w:t>
      </w:r>
      <w:r>
        <w:rPr>
          <w:rFonts w:hint="eastAsia" w:ascii="宋体" w:hAnsi="宋体" w:cs="宋体"/>
          <w:color w:val="000000"/>
          <w:kern w:val="0"/>
          <w:sz w:val="24"/>
        </w:rPr>
        <w:t>国开</w:t>
      </w:r>
      <w:r>
        <w:rPr>
          <w:rFonts w:ascii="宋体" w:hAnsi="宋体" w:cs="宋体"/>
          <w:color w:val="000000"/>
          <w:kern w:val="0"/>
          <w:sz w:val="24"/>
        </w:rPr>
        <w:t>有关要求</w:t>
      </w:r>
      <w:r>
        <w:rPr>
          <w:rFonts w:hint="eastAsia" w:ascii="宋体" w:hAnsi="宋体" w:cs="宋体"/>
          <w:color w:val="000000"/>
          <w:kern w:val="0"/>
          <w:sz w:val="24"/>
        </w:rPr>
        <w:t>，</w:t>
      </w:r>
      <w:r>
        <w:rPr>
          <w:rFonts w:ascii="宋体" w:hAnsi="宋体" w:cs="宋体"/>
          <w:color w:val="000000"/>
          <w:kern w:val="0"/>
          <w:sz w:val="24"/>
        </w:rPr>
        <w:t>制定</w:t>
      </w:r>
      <w:r>
        <w:rPr>
          <w:rFonts w:hint="eastAsia" w:ascii="宋体" w:hAnsi="宋体" w:cs="宋体"/>
          <w:color w:val="000000"/>
          <w:kern w:val="0"/>
          <w:sz w:val="24"/>
        </w:rPr>
        <w:t>本专业</w:t>
      </w:r>
      <w:r>
        <w:rPr>
          <w:rFonts w:ascii="宋体" w:hAnsi="宋体" w:cs="宋体"/>
          <w:color w:val="000000"/>
          <w:kern w:val="0"/>
          <w:sz w:val="24"/>
        </w:rPr>
        <w:t>答辩工作流程和工作规范</w:t>
      </w:r>
      <w:r>
        <w:rPr>
          <w:rFonts w:hint="eastAsia" w:ascii="宋体" w:hAnsi="宋体" w:cs="宋体"/>
          <w:color w:val="000000"/>
          <w:kern w:val="0"/>
          <w:sz w:val="24"/>
        </w:rPr>
        <w:t>。</w:t>
      </w:r>
    </w:p>
    <w:p w14:paraId="77609F3C">
      <w:pPr>
        <w:widowControl/>
        <w:spacing w:line="360" w:lineRule="auto"/>
        <w:ind w:firstLine="480"/>
        <w:jc w:val="left"/>
        <w:rPr>
          <w:rFonts w:hint="eastAsia" w:ascii="宋体" w:hAnsi="宋体" w:cs="宋体"/>
          <w:color w:val="000000"/>
          <w:kern w:val="0"/>
          <w:sz w:val="24"/>
        </w:rPr>
      </w:pPr>
      <w:r>
        <w:rPr>
          <w:rFonts w:hint="eastAsia" w:ascii="宋体" w:hAnsi="宋体" w:cs="宋体"/>
          <w:color w:val="000000"/>
          <w:kern w:val="0"/>
          <w:sz w:val="24"/>
        </w:rPr>
        <w:t>（2）开</w:t>
      </w:r>
      <w:r>
        <w:rPr>
          <w:rFonts w:ascii="宋体" w:hAnsi="宋体" w:cs="宋体"/>
          <w:color w:val="000000"/>
          <w:kern w:val="0"/>
          <w:sz w:val="24"/>
        </w:rPr>
        <w:t>大分校</w:t>
      </w:r>
      <w:r>
        <w:rPr>
          <w:rFonts w:hint="eastAsia" w:ascii="宋体" w:hAnsi="宋体" w:cs="宋体"/>
          <w:color w:val="000000"/>
          <w:kern w:val="0"/>
          <w:sz w:val="24"/>
        </w:rPr>
        <w:t>、工作站应根据省开大教务处下发的论文答辩要求</w:t>
      </w:r>
      <w:r>
        <w:rPr>
          <w:rFonts w:ascii="宋体" w:hAnsi="宋体" w:cs="宋体"/>
          <w:color w:val="000000"/>
          <w:kern w:val="0"/>
          <w:sz w:val="24"/>
        </w:rPr>
        <w:t>制订答辩工作计划</w:t>
      </w:r>
      <w:r>
        <w:rPr>
          <w:rFonts w:hint="eastAsia" w:ascii="宋体" w:hAnsi="宋体" w:cs="宋体"/>
          <w:color w:val="000000"/>
          <w:kern w:val="0"/>
          <w:sz w:val="24"/>
        </w:rPr>
        <w:t>、成</w:t>
      </w:r>
      <w:r>
        <w:rPr>
          <w:rFonts w:ascii="宋体" w:hAnsi="宋体" w:cs="宋体"/>
          <w:color w:val="000000"/>
          <w:kern w:val="0"/>
          <w:sz w:val="24"/>
        </w:rPr>
        <w:t>立答辩委员会和答辩小组</w:t>
      </w:r>
      <w:r>
        <w:rPr>
          <w:rFonts w:hint="eastAsia" w:ascii="宋体" w:hAnsi="宋体" w:cs="宋体"/>
          <w:color w:val="000000"/>
          <w:kern w:val="0"/>
          <w:sz w:val="24"/>
        </w:rPr>
        <w:t>，报省开大教学管理部门备案。</w:t>
      </w:r>
    </w:p>
    <w:p w14:paraId="4F9A2DEF">
      <w:pPr>
        <w:spacing w:line="360" w:lineRule="auto"/>
        <w:ind w:firstLine="480" w:firstLineChars="200"/>
        <w:rPr>
          <w:sz w:val="24"/>
          <w:szCs w:val="24"/>
        </w:rPr>
      </w:pPr>
      <w:r>
        <w:rPr>
          <w:sz w:val="24"/>
          <w:szCs w:val="24"/>
        </w:rPr>
        <w:t>2</w:t>
      </w:r>
      <w:r>
        <w:rPr>
          <w:rFonts w:hint="eastAsia"/>
          <w:sz w:val="24"/>
          <w:szCs w:val="24"/>
        </w:rPr>
        <w:t>、答辩小组要求</w:t>
      </w:r>
    </w:p>
    <w:p w14:paraId="68E10E27">
      <w:pPr>
        <w:spacing w:line="360" w:lineRule="auto"/>
        <w:ind w:firstLine="480" w:firstLineChars="200"/>
        <w:rPr>
          <w:sz w:val="24"/>
          <w:szCs w:val="24"/>
        </w:rPr>
      </w:pPr>
      <w:r>
        <w:rPr>
          <w:rFonts w:hint="eastAsia"/>
          <w:sz w:val="24"/>
          <w:szCs w:val="24"/>
        </w:rPr>
        <w:t xml:space="preserve">（1）人数须为5人及以上的单数。小组成员包括:答辩主持人1名，答辩教师若干名，学位论文答辩要求副高级及以上专业技术职称者不少于2人;    </w:t>
      </w:r>
    </w:p>
    <w:p w14:paraId="1CE8D054">
      <w:pPr>
        <w:spacing w:line="360" w:lineRule="auto"/>
        <w:ind w:firstLine="480" w:firstLineChars="200"/>
        <w:rPr>
          <w:sz w:val="24"/>
          <w:szCs w:val="24"/>
        </w:rPr>
      </w:pPr>
      <w:r>
        <w:rPr>
          <w:rFonts w:hint="eastAsia"/>
          <w:sz w:val="24"/>
          <w:szCs w:val="24"/>
        </w:rPr>
        <w:t>（2）答辩主持人可以来自国家开放大学办学体系，答辩主持人须持有国家开放大学颁发的答辩主持人资格证书;</w:t>
      </w:r>
    </w:p>
    <w:p w14:paraId="2A8CD80B">
      <w:pPr>
        <w:spacing w:line="360" w:lineRule="auto"/>
        <w:ind w:firstLine="480" w:firstLineChars="200"/>
        <w:rPr>
          <w:sz w:val="24"/>
          <w:szCs w:val="24"/>
        </w:rPr>
      </w:pPr>
      <w:r>
        <w:rPr>
          <w:rFonts w:hint="eastAsia"/>
          <w:sz w:val="24"/>
          <w:szCs w:val="24"/>
        </w:rPr>
        <w:t>（3）指导教师在其本人指导的学生进行答辩时，不得担任该答辩小组成员;</w:t>
      </w:r>
    </w:p>
    <w:p w14:paraId="7848FA4E">
      <w:pPr>
        <w:spacing w:line="360" w:lineRule="auto"/>
        <w:ind w:firstLine="480" w:firstLineChars="200"/>
        <w:rPr>
          <w:sz w:val="24"/>
          <w:szCs w:val="24"/>
        </w:rPr>
      </w:pPr>
      <w:r>
        <w:rPr>
          <w:rFonts w:hint="eastAsia"/>
          <w:sz w:val="24"/>
          <w:szCs w:val="24"/>
        </w:rPr>
        <w:t>（4）主要职责为根据学生的论文和答辩情况，为学生评定论文答辩成绩和综合成绩。</w:t>
      </w:r>
    </w:p>
    <w:p w14:paraId="22B77A26">
      <w:pPr>
        <w:spacing w:line="360" w:lineRule="auto"/>
        <w:ind w:firstLine="480" w:firstLineChars="200"/>
        <w:rPr>
          <w:sz w:val="24"/>
          <w:szCs w:val="24"/>
        </w:rPr>
      </w:pPr>
      <w:r>
        <w:rPr>
          <w:sz w:val="24"/>
          <w:szCs w:val="24"/>
        </w:rPr>
        <w:t>3</w:t>
      </w:r>
      <w:r>
        <w:rPr>
          <w:rFonts w:hint="eastAsia"/>
          <w:sz w:val="24"/>
          <w:szCs w:val="24"/>
        </w:rPr>
        <w:t>、</w:t>
      </w:r>
      <w:r>
        <w:rPr>
          <w:sz w:val="24"/>
          <w:szCs w:val="24"/>
        </w:rPr>
        <w:t>答辩老师</w:t>
      </w:r>
      <w:r>
        <w:rPr>
          <w:rFonts w:hint="eastAsia"/>
          <w:sz w:val="24"/>
          <w:szCs w:val="24"/>
        </w:rPr>
        <w:t>资格</w:t>
      </w:r>
    </w:p>
    <w:p w14:paraId="73D5C85C">
      <w:pPr>
        <w:spacing w:line="360" w:lineRule="auto"/>
        <w:ind w:firstLine="480" w:firstLineChars="200"/>
        <w:rPr>
          <w:sz w:val="24"/>
          <w:szCs w:val="24"/>
        </w:rPr>
      </w:pPr>
      <w:r>
        <w:rPr>
          <w:rFonts w:hint="eastAsia"/>
          <w:sz w:val="24"/>
          <w:szCs w:val="24"/>
        </w:rPr>
        <w:t>答辩教师须具有相应专业本科及以上学历、中级及以上专业技术职称、3年以上相应专业教学研究工作经历或5年以上相关行业从业经历。答辩教师主要职责是审阅参加答辩学生的论文，并依此提出问题，对学生答辩情况进行现场点评。</w:t>
      </w:r>
    </w:p>
    <w:p w14:paraId="6B747957">
      <w:pPr>
        <w:spacing w:line="360" w:lineRule="auto"/>
        <w:ind w:firstLine="480" w:firstLineChars="200"/>
        <w:rPr>
          <w:sz w:val="24"/>
          <w:szCs w:val="24"/>
        </w:rPr>
      </w:pPr>
      <w:r>
        <w:rPr>
          <w:sz w:val="24"/>
          <w:szCs w:val="24"/>
        </w:rPr>
        <w:t>4</w:t>
      </w:r>
      <w:r>
        <w:rPr>
          <w:rFonts w:hint="eastAsia"/>
          <w:sz w:val="24"/>
          <w:szCs w:val="24"/>
        </w:rPr>
        <w:t>、答辩程序</w:t>
      </w:r>
    </w:p>
    <w:p w14:paraId="6E5FEBA0">
      <w:pPr>
        <w:spacing w:line="360" w:lineRule="auto"/>
        <w:ind w:firstLine="480" w:firstLineChars="200"/>
        <w:rPr>
          <w:sz w:val="24"/>
          <w:szCs w:val="24"/>
        </w:rPr>
      </w:pPr>
      <w:r>
        <w:rPr>
          <w:rFonts w:hint="eastAsia"/>
          <w:sz w:val="24"/>
          <w:szCs w:val="24"/>
        </w:rPr>
        <w:t>（1）答辩教师审阅参加答辩的学生的论文;</w:t>
      </w:r>
    </w:p>
    <w:p w14:paraId="70DF3E0D">
      <w:pPr>
        <w:spacing w:line="360" w:lineRule="auto"/>
        <w:ind w:firstLine="480" w:firstLineChars="200"/>
        <w:rPr>
          <w:sz w:val="24"/>
          <w:szCs w:val="24"/>
        </w:rPr>
      </w:pPr>
      <w:r>
        <w:rPr>
          <w:sz w:val="24"/>
          <w:szCs w:val="24"/>
        </w:rPr>
        <w:t>（</w:t>
      </w:r>
      <w:r>
        <w:rPr>
          <w:rFonts w:hint="eastAsia"/>
          <w:sz w:val="24"/>
          <w:szCs w:val="24"/>
        </w:rPr>
        <w:t>2</w:t>
      </w:r>
      <w:r>
        <w:rPr>
          <w:sz w:val="24"/>
          <w:szCs w:val="24"/>
        </w:rPr>
        <w:t>）</w:t>
      </w:r>
      <w:r>
        <w:rPr>
          <w:rFonts w:hint="eastAsia"/>
          <w:sz w:val="24"/>
          <w:szCs w:val="24"/>
        </w:rPr>
        <w:t>答辩主持人宣布答辩程序和要求</w:t>
      </w:r>
    </w:p>
    <w:p w14:paraId="3F5C6C56">
      <w:pPr>
        <w:spacing w:line="360" w:lineRule="auto"/>
        <w:ind w:firstLine="480" w:firstLineChars="200"/>
        <w:rPr>
          <w:sz w:val="24"/>
          <w:szCs w:val="24"/>
        </w:rPr>
      </w:pPr>
      <w:r>
        <w:rPr>
          <w:sz w:val="24"/>
          <w:szCs w:val="24"/>
        </w:rPr>
        <w:t>（</w:t>
      </w:r>
      <w:r>
        <w:rPr>
          <w:rFonts w:hint="eastAsia"/>
          <w:sz w:val="24"/>
          <w:szCs w:val="24"/>
        </w:rPr>
        <w:t>3</w:t>
      </w:r>
      <w:r>
        <w:rPr>
          <w:sz w:val="24"/>
          <w:szCs w:val="24"/>
        </w:rPr>
        <w:t>）</w:t>
      </w:r>
      <w:r>
        <w:rPr>
          <w:rFonts w:hint="eastAsia"/>
          <w:sz w:val="24"/>
          <w:szCs w:val="24"/>
        </w:rPr>
        <w:t>答辩学生介绍论文主要内容；</w:t>
      </w:r>
    </w:p>
    <w:p w14:paraId="57B50392">
      <w:pPr>
        <w:spacing w:line="360" w:lineRule="auto"/>
        <w:ind w:firstLine="480" w:firstLineChars="200"/>
        <w:rPr>
          <w:sz w:val="24"/>
          <w:szCs w:val="24"/>
        </w:rPr>
      </w:pPr>
      <w:r>
        <w:rPr>
          <w:rFonts w:hint="eastAsia"/>
          <w:sz w:val="24"/>
          <w:szCs w:val="24"/>
        </w:rPr>
        <w:t>（</w:t>
      </w:r>
      <w:r>
        <w:rPr>
          <w:sz w:val="24"/>
          <w:szCs w:val="24"/>
        </w:rPr>
        <w:t>4</w:t>
      </w:r>
      <w:r>
        <w:rPr>
          <w:rFonts w:hint="eastAsia"/>
          <w:sz w:val="24"/>
          <w:szCs w:val="24"/>
        </w:rPr>
        <w:t>）答辩教师审查判断论文的真实性，提出相关问题，由学生回答;</w:t>
      </w:r>
    </w:p>
    <w:p w14:paraId="5656DA32">
      <w:pPr>
        <w:spacing w:line="360" w:lineRule="auto"/>
        <w:ind w:firstLine="480" w:firstLineChars="200"/>
        <w:rPr>
          <w:sz w:val="24"/>
          <w:szCs w:val="24"/>
        </w:rPr>
      </w:pPr>
      <w:r>
        <w:rPr>
          <w:rFonts w:hint="eastAsia"/>
          <w:sz w:val="24"/>
          <w:szCs w:val="24"/>
        </w:rPr>
        <w:t xml:space="preserve">（5）答辩教师对学生答辩情况进行点评，评估判断论文质量; </w:t>
      </w:r>
    </w:p>
    <w:p w14:paraId="5CFD880E">
      <w:pPr>
        <w:spacing w:line="360" w:lineRule="auto"/>
        <w:ind w:firstLine="480" w:firstLineChars="200"/>
        <w:rPr>
          <w:sz w:val="24"/>
          <w:szCs w:val="24"/>
        </w:rPr>
      </w:pPr>
      <w:r>
        <w:rPr>
          <w:rFonts w:hint="eastAsia"/>
          <w:sz w:val="24"/>
          <w:szCs w:val="24"/>
        </w:rPr>
        <w:t>（6）答辩主持人组织答辩教师对论文质量和学生答辩过程进行评议，给出答辩成绩和评语，记入论文评审表，并须答辩主持人签字。</w:t>
      </w:r>
    </w:p>
    <w:p w14:paraId="016B713A">
      <w:pPr>
        <w:widowControl/>
        <w:spacing w:line="360" w:lineRule="auto"/>
        <w:ind w:left="480"/>
        <w:jc w:val="left"/>
        <w:rPr>
          <w:b/>
          <w:sz w:val="24"/>
        </w:rPr>
      </w:pPr>
      <w:r>
        <w:rPr>
          <w:rFonts w:hint="eastAsia"/>
          <w:b/>
          <w:sz w:val="24"/>
        </w:rPr>
        <w:t>五、毕业论文综合成绩评定与审核</w:t>
      </w:r>
    </w:p>
    <w:p w14:paraId="7B69A8A6">
      <w:pPr>
        <w:spacing w:line="360" w:lineRule="auto"/>
        <w:ind w:firstLine="480" w:firstLineChars="200"/>
        <w:rPr>
          <w:sz w:val="24"/>
          <w:szCs w:val="24"/>
        </w:rPr>
      </w:pPr>
      <w:r>
        <w:rPr>
          <w:rFonts w:hint="eastAsia"/>
          <w:sz w:val="24"/>
          <w:szCs w:val="24"/>
        </w:rPr>
        <w:t>1、综合成绩评定</w:t>
      </w:r>
    </w:p>
    <w:p w14:paraId="11E378F8">
      <w:pPr>
        <w:spacing w:line="360" w:lineRule="auto"/>
        <w:ind w:firstLine="480" w:firstLineChars="200"/>
        <w:rPr>
          <w:sz w:val="24"/>
          <w:szCs w:val="24"/>
        </w:rPr>
      </w:pPr>
      <w:r>
        <w:rPr>
          <w:rFonts w:hint="eastAsia"/>
          <w:sz w:val="24"/>
          <w:szCs w:val="24"/>
        </w:rPr>
        <w:t>毕业</w:t>
      </w:r>
      <w:r>
        <w:rPr>
          <w:sz w:val="24"/>
          <w:szCs w:val="24"/>
        </w:rPr>
        <w:t>论文成绩由写作成绩和答辩成绩两个部分构成，论文上报成绩为两个部分的综合成绩，论文成绩评</w:t>
      </w:r>
      <w:r>
        <w:rPr>
          <w:rFonts w:hint="eastAsia"/>
          <w:sz w:val="24"/>
          <w:szCs w:val="24"/>
        </w:rPr>
        <w:t>定</w:t>
      </w:r>
      <w:r>
        <w:rPr>
          <w:sz w:val="24"/>
          <w:szCs w:val="24"/>
        </w:rPr>
        <w:t>标准：写作成绩</w:t>
      </w:r>
      <w:r>
        <w:rPr>
          <w:rFonts w:hint="eastAsia"/>
          <w:sz w:val="24"/>
          <w:szCs w:val="24"/>
        </w:rPr>
        <w:t>、</w:t>
      </w:r>
      <w:r>
        <w:rPr>
          <w:sz w:val="24"/>
          <w:szCs w:val="24"/>
        </w:rPr>
        <w:t>答辩成绩</w:t>
      </w:r>
      <w:r>
        <w:rPr>
          <w:rFonts w:hint="eastAsia"/>
          <w:sz w:val="24"/>
          <w:szCs w:val="24"/>
        </w:rPr>
        <w:t>和综合</w:t>
      </w:r>
      <w:r>
        <w:rPr>
          <w:sz w:val="24"/>
          <w:szCs w:val="24"/>
        </w:rPr>
        <w:t>成绩评定</w:t>
      </w:r>
      <w:r>
        <w:rPr>
          <w:rFonts w:hint="eastAsia"/>
          <w:sz w:val="24"/>
          <w:szCs w:val="24"/>
        </w:rPr>
        <w:t>均</w:t>
      </w:r>
      <w:r>
        <w:rPr>
          <w:sz w:val="24"/>
          <w:szCs w:val="24"/>
        </w:rPr>
        <w:t>实行</w:t>
      </w:r>
      <w:r>
        <w:rPr>
          <w:rFonts w:hint="eastAsia"/>
          <w:sz w:val="24"/>
          <w:szCs w:val="24"/>
        </w:rPr>
        <w:t>百</w:t>
      </w:r>
      <w:r>
        <w:rPr>
          <w:sz w:val="24"/>
          <w:szCs w:val="24"/>
        </w:rPr>
        <w:t>分制</w:t>
      </w:r>
      <w:r>
        <w:rPr>
          <w:rFonts w:hint="eastAsia"/>
          <w:sz w:val="24"/>
          <w:szCs w:val="24"/>
        </w:rPr>
        <w:t>，6</w:t>
      </w:r>
      <w:r>
        <w:rPr>
          <w:sz w:val="24"/>
          <w:szCs w:val="24"/>
        </w:rPr>
        <w:t>0</w:t>
      </w:r>
      <w:r>
        <w:rPr>
          <w:rFonts w:hint="eastAsia"/>
          <w:sz w:val="24"/>
          <w:szCs w:val="24"/>
        </w:rPr>
        <w:t>分以上为合格。综合</w:t>
      </w:r>
      <w:r>
        <w:rPr>
          <w:sz w:val="24"/>
          <w:szCs w:val="24"/>
        </w:rPr>
        <w:t>成绩</w:t>
      </w:r>
      <w:r>
        <w:rPr>
          <w:rFonts w:hint="eastAsia"/>
          <w:sz w:val="24"/>
          <w:szCs w:val="24"/>
        </w:rPr>
        <w:t>评定</w:t>
      </w:r>
      <w:r>
        <w:rPr>
          <w:sz w:val="24"/>
          <w:szCs w:val="24"/>
        </w:rPr>
        <w:t xml:space="preserve">标准如下： </w:t>
      </w:r>
    </w:p>
    <w:p w14:paraId="5EA46CBA">
      <w:pPr>
        <w:spacing w:line="360" w:lineRule="auto"/>
        <w:ind w:firstLine="482" w:firstLineChars="200"/>
        <w:rPr>
          <w:b/>
          <w:bCs/>
          <w:sz w:val="24"/>
          <w:szCs w:val="24"/>
        </w:rPr>
      </w:pPr>
      <w:r>
        <w:rPr>
          <w:b/>
          <w:bCs/>
          <w:sz w:val="24"/>
          <w:szCs w:val="24"/>
        </w:rPr>
        <w:t xml:space="preserve">90分及以上 </w:t>
      </w:r>
    </w:p>
    <w:p w14:paraId="64EC0E79">
      <w:pPr>
        <w:spacing w:line="360" w:lineRule="auto"/>
        <w:ind w:firstLine="480" w:firstLineChars="200"/>
        <w:rPr>
          <w:sz w:val="24"/>
          <w:szCs w:val="24"/>
        </w:rPr>
      </w:pPr>
      <w:r>
        <w:rPr>
          <w:rFonts w:hint="eastAsia"/>
          <w:sz w:val="24"/>
          <w:szCs w:val="24"/>
        </w:rPr>
        <w:t>（</w:t>
      </w:r>
      <w:r>
        <w:rPr>
          <w:sz w:val="24"/>
          <w:szCs w:val="24"/>
        </w:rPr>
        <w:t xml:space="preserve">1）符合党和国家的有关会计方针、政策；观点明确，能深入进行分析，并有独到见解。 </w:t>
      </w:r>
    </w:p>
    <w:p w14:paraId="4EF41385">
      <w:pPr>
        <w:spacing w:line="360" w:lineRule="auto"/>
        <w:ind w:firstLine="480" w:firstLineChars="200"/>
        <w:rPr>
          <w:sz w:val="24"/>
          <w:szCs w:val="24"/>
        </w:rPr>
      </w:pPr>
      <w:r>
        <w:rPr>
          <w:rFonts w:hint="eastAsia"/>
          <w:sz w:val="24"/>
          <w:szCs w:val="24"/>
        </w:rPr>
        <w:t>（</w:t>
      </w:r>
      <w:r>
        <w:rPr>
          <w:sz w:val="24"/>
          <w:szCs w:val="24"/>
        </w:rPr>
        <w:t xml:space="preserve">2）理论联系实际，对经济工作或学术研究有一定的现实意义。 </w:t>
      </w:r>
    </w:p>
    <w:p w14:paraId="049DADD0">
      <w:pPr>
        <w:spacing w:line="360" w:lineRule="auto"/>
        <w:ind w:firstLine="480" w:firstLineChars="200"/>
        <w:rPr>
          <w:sz w:val="24"/>
          <w:szCs w:val="24"/>
        </w:rPr>
      </w:pPr>
      <w:r>
        <w:rPr>
          <w:rFonts w:hint="eastAsia"/>
          <w:sz w:val="24"/>
          <w:szCs w:val="24"/>
        </w:rPr>
        <w:t>（</w:t>
      </w:r>
      <w:r>
        <w:rPr>
          <w:sz w:val="24"/>
          <w:szCs w:val="24"/>
        </w:rPr>
        <w:t xml:space="preserve">3）中心突出，论据充足，层次清楚，结构合理，语言流畅。 </w:t>
      </w:r>
    </w:p>
    <w:p w14:paraId="3021A588">
      <w:pPr>
        <w:spacing w:line="360" w:lineRule="auto"/>
        <w:ind w:firstLine="480" w:firstLineChars="200"/>
        <w:rPr>
          <w:sz w:val="24"/>
          <w:szCs w:val="24"/>
        </w:rPr>
      </w:pPr>
      <w:r>
        <w:rPr>
          <w:rFonts w:hint="eastAsia"/>
          <w:sz w:val="24"/>
          <w:szCs w:val="24"/>
        </w:rPr>
        <w:t>（</w:t>
      </w:r>
      <w:r>
        <w:rPr>
          <w:sz w:val="24"/>
          <w:szCs w:val="24"/>
        </w:rPr>
        <w:t xml:space="preserve">4）答辩中回答问题正确，重点突出，语言简练。 </w:t>
      </w:r>
    </w:p>
    <w:p w14:paraId="15D82940">
      <w:pPr>
        <w:spacing w:line="360" w:lineRule="auto"/>
        <w:ind w:firstLine="482" w:firstLineChars="200"/>
        <w:rPr>
          <w:b/>
          <w:bCs/>
          <w:sz w:val="24"/>
          <w:szCs w:val="24"/>
        </w:rPr>
      </w:pPr>
      <w:r>
        <w:rPr>
          <w:b/>
          <w:bCs/>
          <w:sz w:val="24"/>
          <w:szCs w:val="24"/>
        </w:rPr>
        <w:t xml:space="preserve">80—89分 </w:t>
      </w:r>
    </w:p>
    <w:p w14:paraId="20B343BC">
      <w:pPr>
        <w:spacing w:line="360" w:lineRule="auto"/>
        <w:ind w:firstLine="480" w:firstLineChars="200"/>
        <w:rPr>
          <w:sz w:val="24"/>
          <w:szCs w:val="24"/>
        </w:rPr>
      </w:pPr>
      <w:r>
        <w:rPr>
          <w:rFonts w:hint="eastAsia"/>
          <w:sz w:val="24"/>
          <w:szCs w:val="24"/>
        </w:rPr>
        <w:t>（</w:t>
      </w:r>
      <w:r>
        <w:rPr>
          <w:sz w:val="24"/>
          <w:szCs w:val="24"/>
        </w:rPr>
        <w:t xml:space="preserve">1）符合党和国家的有关会计方针和政策，能够运用所学知识，理论联系实际，观点明确，分析比较深入。 </w:t>
      </w:r>
    </w:p>
    <w:p w14:paraId="183A41B7">
      <w:pPr>
        <w:spacing w:line="360" w:lineRule="auto"/>
        <w:ind w:firstLine="480" w:firstLineChars="200"/>
        <w:rPr>
          <w:sz w:val="24"/>
          <w:szCs w:val="24"/>
        </w:rPr>
      </w:pPr>
      <w:r>
        <w:rPr>
          <w:rFonts w:hint="eastAsia"/>
          <w:sz w:val="24"/>
          <w:szCs w:val="24"/>
        </w:rPr>
        <w:t>（</w:t>
      </w:r>
      <w:r>
        <w:rPr>
          <w:sz w:val="24"/>
          <w:szCs w:val="24"/>
        </w:rPr>
        <w:t xml:space="preserve">2）中心明确，论据较充足，层次清楚，语言通顺，结构合理。 </w:t>
      </w:r>
    </w:p>
    <w:p w14:paraId="0DF7C8B9">
      <w:pPr>
        <w:spacing w:line="360" w:lineRule="auto"/>
        <w:ind w:firstLine="480" w:firstLineChars="200"/>
        <w:rPr>
          <w:sz w:val="24"/>
          <w:szCs w:val="24"/>
        </w:rPr>
      </w:pPr>
      <w:r>
        <w:rPr>
          <w:rFonts w:hint="eastAsia"/>
          <w:sz w:val="24"/>
          <w:szCs w:val="24"/>
        </w:rPr>
        <w:t>（</w:t>
      </w:r>
      <w:r>
        <w:rPr>
          <w:sz w:val="24"/>
          <w:szCs w:val="24"/>
        </w:rPr>
        <w:t xml:space="preserve">3）答辩中回答问题正确。 </w:t>
      </w:r>
    </w:p>
    <w:p w14:paraId="75DC205E">
      <w:pPr>
        <w:spacing w:line="360" w:lineRule="auto"/>
        <w:ind w:firstLine="482" w:firstLineChars="200"/>
        <w:rPr>
          <w:b/>
          <w:bCs/>
          <w:sz w:val="24"/>
          <w:szCs w:val="24"/>
        </w:rPr>
      </w:pPr>
      <w:r>
        <w:rPr>
          <w:b/>
          <w:bCs/>
          <w:sz w:val="24"/>
          <w:szCs w:val="24"/>
        </w:rPr>
        <w:t xml:space="preserve">70--79分 </w:t>
      </w:r>
    </w:p>
    <w:p w14:paraId="18D2BB13">
      <w:pPr>
        <w:spacing w:line="360" w:lineRule="auto"/>
        <w:ind w:firstLine="480" w:firstLineChars="200"/>
        <w:rPr>
          <w:sz w:val="24"/>
          <w:szCs w:val="24"/>
        </w:rPr>
      </w:pPr>
      <w:r>
        <w:rPr>
          <w:rFonts w:hint="eastAsia"/>
          <w:sz w:val="24"/>
          <w:szCs w:val="24"/>
        </w:rPr>
        <w:t>（</w:t>
      </w:r>
      <w:r>
        <w:rPr>
          <w:sz w:val="24"/>
          <w:szCs w:val="24"/>
        </w:rPr>
        <w:t xml:space="preserve">1）符合党和国家的有关会计方针和政策，能够运用专业理论去分析实际问题，中心比较突出。 </w:t>
      </w:r>
    </w:p>
    <w:p w14:paraId="675F845E">
      <w:pPr>
        <w:spacing w:line="360" w:lineRule="auto"/>
        <w:ind w:firstLine="480" w:firstLineChars="200"/>
        <w:rPr>
          <w:sz w:val="24"/>
          <w:szCs w:val="24"/>
        </w:rPr>
      </w:pPr>
      <w:r>
        <w:rPr>
          <w:rFonts w:hint="eastAsia"/>
          <w:sz w:val="24"/>
          <w:szCs w:val="24"/>
        </w:rPr>
        <w:t>（</w:t>
      </w:r>
      <w:r>
        <w:rPr>
          <w:sz w:val="24"/>
          <w:szCs w:val="24"/>
        </w:rPr>
        <w:t xml:space="preserve">2）论据较充足，层次较清楚，语言较通顺，结构较合理。 </w:t>
      </w:r>
    </w:p>
    <w:p w14:paraId="5665FA64">
      <w:pPr>
        <w:spacing w:line="360" w:lineRule="auto"/>
        <w:ind w:firstLine="480" w:firstLineChars="200"/>
        <w:rPr>
          <w:sz w:val="24"/>
          <w:szCs w:val="24"/>
        </w:rPr>
      </w:pPr>
      <w:r>
        <w:rPr>
          <w:rFonts w:hint="eastAsia"/>
          <w:sz w:val="24"/>
          <w:szCs w:val="24"/>
        </w:rPr>
        <w:t>（</w:t>
      </w:r>
      <w:r>
        <w:rPr>
          <w:sz w:val="24"/>
          <w:szCs w:val="24"/>
        </w:rPr>
        <w:t xml:space="preserve">3）答辩中回答问题基本正确。 </w:t>
      </w:r>
    </w:p>
    <w:p w14:paraId="2143ABEA">
      <w:pPr>
        <w:spacing w:line="360" w:lineRule="auto"/>
        <w:ind w:firstLine="482" w:firstLineChars="200"/>
        <w:rPr>
          <w:b/>
          <w:bCs/>
          <w:sz w:val="24"/>
          <w:szCs w:val="24"/>
        </w:rPr>
      </w:pPr>
      <w:r>
        <w:rPr>
          <w:b/>
          <w:bCs/>
          <w:sz w:val="24"/>
          <w:szCs w:val="24"/>
        </w:rPr>
        <w:t xml:space="preserve">60--69分 </w:t>
      </w:r>
    </w:p>
    <w:p w14:paraId="3C2704D4">
      <w:pPr>
        <w:spacing w:line="360" w:lineRule="auto"/>
        <w:ind w:firstLine="480" w:firstLineChars="200"/>
        <w:rPr>
          <w:sz w:val="24"/>
          <w:szCs w:val="24"/>
        </w:rPr>
      </w:pPr>
      <w:r>
        <w:rPr>
          <w:rFonts w:hint="eastAsia"/>
          <w:sz w:val="24"/>
          <w:szCs w:val="24"/>
        </w:rPr>
        <w:t>（</w:t>
      </w:r>
      <w:r>
        <w:rPr>
          <w:sz w:val="24"/>
          <w:szCs w:val="24"/>
        </w:rPr>
        <w:t xml:space="preserve">1）符合党和国家的有关会计方针和政策，基本上能够运用所学知识去分析问题，但内容尚欠充实。 </w:t>
      </w:r>
    </w:p>
    <w:p w14:paraId="3FF1042B">
      <w:pPr>
        <w:spacing w:line="360" w:lineRule="auto"/>
        <w:ind w:firstLine="480" w:firstLineChars="200"/>
        <w:rPr>
          <w:sz w:val="24"/>
          <w:szCs w:val="24"/>
        </w:rPr>
      </w:pPr>
      <w:r>
        <w:rPr>
          <w:rFonts w:hint="eastAsia"/>
          <w:sz w:val="24"/>
          <w:szCs w:val="24"/>
        </w:rPr>
        <w:t>（</w:t>
      </w:r>
      <w:r>
        <w:rPr>
          <w:sz w:val="24"/>
          <w:szCs w:val="24"/>
        </w:rPr>
        <w:t xml:space="preserve">2）中心论题较明确，材料较充足、具体但不够典型。 </w:t>
      </w:r>
    </w:p>
    <w:p w14:paraId="1C39C695">
      <w:pPr>
        <w:spacing w:line="360" w:lineRule="auto"/>
        <w:ind w:firstLine="480" w:firstLineChars="200"/>
        <w:rPr>
          <w:sz w:val="24"/>
          <w:szCs w:val="24"/>
        </w:rPr>
      </w:pPr>
      <w:r>
        <w:rPr>
          <w:rFonts w:hint="eastAsia"/>
          <w:sz w:val="24"/>
          <w:szCs w:val="24"/>
        </w:rPr>
        <w:t>（</w:t>
      </w:r>
      <w:r>
        <w:rPr>
          <w:sz w:val="24"/>
          <w:szCs w:val="24"/>
        </w:rPr>
        <w:t xml:space="preserve">3）尚能联系经济工作实际，但论证不够充分。 </w:t>
      </w:r>
    </w:p>
    <w:p w14:paraId="6F83F740">
      <w:pPr>
        <w:spacing w:line="360" w:lineRule="auto"/>
        <w:ind w:firstLine="480" w:firstLineChars="200"/>
        <w:rPr>
          <w:sz w:val="24"/>
          <w:szCs w:val="24"/>
        </w:rPr>
      </w:pPr>
      <w:r>
        <w:rPr>
          <w:rFonts w:hint="eastAsia"/>
          <w:sz w:val="24"/>
          <w:szCs w:val="24"/>
        </w:rPr>
        <w:t>（</w:t>
      </w:r>
      <w:r>
        <w:rPr>
          <w:sz w:val="24"/>
          <w:szCs w:val="24"/>
        </w:rPr>
        <w:t xml:space="preserve">4）文章有一定的条理，一定的论据，文字尚通顺。 </w:t>
      </w:r>
    </w:p>
    <w:p w14:paraId="34B14A23">
      <w:pPr>
        <w:spacing w:line="360" w:lineRule="auto"/>
        <w:ind w:firstLine="480" w:firstLineChars="200"/>
        <w:rPr>
          <w:sz w:val="24"/>
          <w:szCs w:val="24"/>
        </w:rPr>
      </w:pPr>
      <w:r>
        <w:rPr>
          <w:rFonts w:hint="eastAsia"/>
          <w:sz w:val="24"/>
          <w:szCs w:val="24"/>
        </w:rPr>
        <w:t>（</w:t>
      </w:r>
      <w:r>
        <w:rPr>
          <w:sz w:val="24"/>
          <w:szCs w:val="24"/>
        </w:rPr>
        <w:t xml:space="preserve">5）答辩中回答问题经提示后基本正确。 </w:t>
      </w:r>
    </w:p>
    <w:p w14:paraId="1075EC2C">
      <w:pPr>
        <w:spacing w:line="360" w:lineRule="auto"/>
        <w:ind w:firstLine="482" w:firstLineChars="200"/>
        <w:rPr>
          <w:b/>
          <w:bCs/>
          <w:sz w:val="24"/>
          <w:szCs w:val="24"/>
        </w:rPr>
      </w:pPr>
      <w:r>
        <w:rPr>
          <w:b/>
          <w:bCs/>
          <w:sz w:val="24"/>
          <w:szCs w:val="24"/>
        </w:rPr>
        <w:t xml:space="preserve">59分以下（含59分） </w:t>
      </w:r>
    </w:p>
    <w:p w14:paraId="16F20417">
      <w:pPr>
        <w:spacing w:line="360" w:lineRule="auto"/>
        <w:ind w:firstLine="480" w:firstLineChars="200"/>
        <w:rPr>
          <w:sz w:val="24"/>
          <w:szCs w:val="24"/>
        </w:rPr>
      </w:pPr>
      <w:r>
        <w:rPr>
          <w:rFonts w:hint="eastAsia"/>
          <w:sz w:val="24"/>
          <w:szCs w:val="24"/>
        </w:rPr>
        <w:t>（</w:t>
      </w:r>
      <w:r>
        <w:rPr>
          <w:sz w:val="24"/>
          <w:szCs w:val="24"/>
        </w:rPr>
        <w:t xml:space="preserve">1）不符合党和国家的有关会计方针和政策，或在经济理论上有原则性错误，未掌握已学的有关专业知识、技能差。 </w:t>
      </w:r>
    </w:p>
    <w:p w14:paraId="5D93B15B">
      <w:pPr>
        <w:spacing w:line="360" w:lineRule="auto"/>
        <w:ind w:firstLine="480" w:firstLineChars="200"/>
        <w:rPr>
          <w:sz w:val="24"/>
          <w:szCs w:val="24"/>
        </w:rPr>
      </w:pPr>
      <w:r>
        <w:rPr>
          <w:rFonts w:hint="eastAsia"/>
          <w:sz w:val="24"/>
          <w:szCs w:val="24"/>
        </w:rPr>
        <w:t>（</w:t>
      </w:r>
      <w:r>
        <w:rPr>
          <w:sz w:val="24"/>
          <w:szCs w:val="24"/>
        </w:rPr>
        <w:t xml:space="preserve">2）文章无中心，层次混淆不清，主要论据短缺或论点论据脱节或严重搭配不当。 </w:t>
      </w:r>
    </w:p>
    <w:p w14:paraId="0607E972">
      <w:pPr>
        <w:spacing w:line="360" w:lineRule="auto"/>
        <w:ind w:firstLine="480" w:firstLineChars="200"/>
        <w:rPr>
          <w:sz w:val="24"/>
          <w:szCs w:val="24"/>
        </w:rPr>
      </w:pPr>
      <w:r>
        <w:rPr>
          <w:rFonts w:hint="eastAsia"/>
          <w:sz w:val="24"/>
          <w:szCs w:val="24"/>
        </w:rPr>
        <w:t>（</w:t>
      </w:r>
      <w:r>
        <w:rPr>
          <w:sz w:val="24"/>
          <w:szCs w:val="24"/>
        </w:rPr>
        <w:t xml:space="preserve">3）论文题目与内容不一致。 </w:t>
      </w:r>
    </w:p>
    <w:p w14:paraId="789377C7">
      <w:pPr>
        <w:spacing w:line="360" w:lineRule="auto"/>
        <w:ind w:firstLine="480" w:firstLineChars="200"/>
        <w:rPr>
          <w:sz w:val="24"/>
          <w:szCs w:val="24"/>
        </w:rPr>
      </w:pPr>
      <w:r>
        <w:rPr>
          <w:rFonts w:hint="eastAsia"/>
          <w:sz w:val="24"/>
          <w:szCs w:val="24"/>
        </w:rPr>
        <w:t>（</w:t>
      </w:r>
      <w:r>
        <w:rPr>
          <w:sz w:val="24"/>
          <w:szCs w:val="24"/>
        </w:rPr>
        <w:t xml:space="preserve">4）论文结构不完整，打印格式极不规范。 </w:t>
      </w:r>
    </w:p>
    <w:p w14:paraId="4C67046E">
      <w:pPr>
        <w:spacing w:line="360" w:lineRule="auto"/>
        <w:ind w:firstLine="480" w:firstLineChars="200"/>
        <w:rPr>
          <w:sz w:val="24"/>
          <w:szCs w:val="24"/>
        </w:rPr>
      </w:pPr>
      <w:r>
        <w:rPr>
          <w:rFonts w:hint="eastAsia"/>
          <w:sz w:val="24"/>
          <w:szCs w:val="24"/>
        </w:rPr>
        <w:t>（</w:t>
      </w:r>
      <w:r>
        <w:rPr>
          <w:sz w:val="24"/>
          <w:szCs w:val="24"/>
        </w:rPr>
        <w:t xml:space="preserve">5）选题陈旧。 </w:t>
      </w:r>
    </w:p>
    <w:p w14:paraId="2721C29C">
      <w:pPr>
        <w:spacing w:line="360" w:lineRule="auto"/>
        <w:ind w:firstLine="480" w:firstLineChars="200"/>
        <w:rPr>
          <w:sz w:val="24"/>
          <w:szCs w:val="24"/>
        </w:rPr>
      </w:pPr>
      <w:r>
        <w:rPr>
          <w:rFonts w:hint="eastAsia"/>
          <w:sz w:val="24"/>
          <w:szCs w:val="24"/>
        </w:rPr>
        <w:t>（</w:t>
      </w:r>
      <w:r>
        <w:rPr>
          <w:sz w:val="24"/>
          <w:szCs w:val="24"/>
        </w:rPr>
        <w:t xml:space="preserve">6）严重偏离专业方向。 </w:t>
      </w:r>
    </w:p>
    <w:p w14:paraId="55339B8F">
      <w:pPr>
        <w:spacing w:line="360" w:lineRule="auto"/>
        <w:ind w:firstLine="480" w:firstLineChars="200"/>
        <w:rPr>
          <w:sz w:val="24"/>
          <w:szCs w:val="24"/>
        </w:rPr>
      </w:pPr>
      <w:r>
        <w:rPr>
          <w:rFonts w:hint="eastAsia"/>
          <w:sz w:val="24"/>
          <w:szCs w:val="24"/>
        </w:rPr>
        <w:t>（</w:t>
      </w:r>
      <w:r>
        <w:rPr>
          <w:sz w:val="24"/>
          <w:szCs w:val="24"/>
        </w:rPr>
        <w:t>7）抄袭他人文章、成果、书籍者 。</w:t>
      </w:r>
    </w:p>
    <w:p w14:paraId="37E3A254">
      <w:pPr>
        <w:spacing w:line="360" w:lineRule="auto"/>
        <w:ind w:firstLine="480" w:firstLineChars="200"/>
        <w:rPr>
          <w:sz w:val="24"/>
          <w:szCs w:val="24"/>
        </w:rPr>
      </w:pPr>
      <w:r>
        <w:rPr>
          <w:rFonts w:hint="eastAsia"/>
          <w:sz w:val="24"/>
          <w:szCs w:val="24"/>
        </w:rPr>
        <w:t>（</w:t>
      </w:r>
      <w:r>
        <w:rPr>
          <w:sz w:val="24"/>
          <w:szCs w:val="24"/>
        </w:rPr>
        <w:t>8）与他人雷同者。</w:t>
      </w:r>
    </w:p>
    <w:p w14:paraId="32D74124">
      <w:pPr>
        <w:spacing w:line="360" w:lineRule="auto"/>
        <w:ind w:firstLine="480" w:firstLineChars="200"/>
        <w:rPr>
          <w:sz w:val="24"/>
          <w:szCs w:val="24"/>
        </w:rPr>
      </w:pPr>
      <w:r>
        <w:rPr>
          <w:rFonts w:hint="eastAsia"/>
          <w:sz w:val="24"/>
          <w:szCs w:val="24"/>
        </w:rPr>
        <w:t>（</w:t>
      </w:r>
      <w:r>
        <w:rPr>
          <w:sz w:val="24"/>
          <w:szCs w:val="24"/>
        </w:rPr>
        <w:t xml:space="preserve">9）凡具有以上条款之一者，应判为不及格。 </w:t>
      </w:r>
    </w:p>
    <w:p w14:paraId="06EAC6A4">
      <w:pPr>
        <w:spacing w:line="360" w:lineRule="auto"/>
        <w:ind w:firstLine="480" w:firstLineChars="200"/>
        <w:rPr>
          <w:sz w:val="24"/>
          <w:szCs w:val="24"/>
        </w:rPr>
      </w:pPr>
      <w:r>
        <w:rPr>
          <w:rFonts w:hint="eastAsia"/>
          <w:sz w:val="24"/>
          <w:szCs w:val="24"/>
        </w:rPr>
        <w:t>（</w:t>
      </w:r>
      <w:r>
        <w:rPr>
          <w:sz w:val="24"/>
          <w:szCs w:val="24"/>
        </w:rPr>
        <w:t>10）在答辩中对大多数问题都不能正确回答者，也应判为不及格。</w:t>
      </w:r>
    </w:p>
    <w:p w14:paraId="0BF3A739">
      <w:pPr>
        <w:spacing w:line="360" w:lineRule="auto"/>
        <w:ind w:firstLine="720" w:firstLineChars="300"/>
        <w:rPr>
          <w:sz w:val="24"/>
          <w:szCs w:val="24"/>
        </w:rPr>
      </w:pPr>
      <w:r>
        <w:rPr>
          <w:rFonts w:hint="eastAsia"/>
          <w:sz w:val="24"/>
          <w:szCs w:val="24"/>
        </w:rPr>
        <w:t>2、成绩审核</w:t>
      </w:r>
    </w:p>
    <w:p w14:paraId="53ED339D">
      <w:pPr>
        <w:spacing w:line="360" w:lineRule="auto"/>
        <w:ind w:firstLine="480" w:firstLineChars="200"/>
        <w:rPr>
          <w:sz w:val="24"/>
          <w:szCs w:val="24"/>
        </w:rPr>
      </w:pPr>
      <w:r>
        <w:rPr>
          <w:rFonts w:hint="eastAsia"/>
          <w:sz w:val="24"/>
          <w:szCs w:val="24"/>
        </w:rPr>
        <w:t>毕业论文综合成绩评定后，后续的审核包括：（1）教学点审核；（2）分校审核；（3）分部审核（即省校审核）；（4）总部审核（即国家开放大学的审核，仅针对学位申请）。</w:t>
      </w:r>
    </w:p>
    <w:p w14:paraId="71692CF0">
      <w:pPr>
        <w:spacing w:line="360" w:lineRule="auto"/>
        <w:ind w:firstLine="480" w:firstLineChars="200"/>
        <w:rPr>
          <w:rFonts w:hint="eastAsia"/>
          <w:sz w:val="24"/>
          <w:szCs w:val="24"/>
        </w:rPr>
      </w:pPr>
      <w:r>
        <w:rPr>
          <w:rFonts w:hint="eastAsia"/>
          <w:sz w:val="24"/>
          <w:szCs w:val="24"/>
        </w:rPr>
        <w:t>（1）教学点审核、（2）分校审核、（3）分部审核（即省校审核）按省校教务处相关规定执行；（4）总部审核按国家开放大学学位管理的相关规定执行。</w:t>
      </w:r>
    </w:p>
    <w:p w14:paraId="27A886E4">
      <w:pPr>
        <w:spacing w:line="360" w:lineRule="auto"/>
        <w:ind w:firstLine="480" w:firstLineChars="200"/>
        <w:rPr>
          <w:sz w:val="24"/>
          <w:szCs w:val="24"/>
        </w:rPr>
      </w:pPr>
      <w:r>
        <w:rPr>
          <w:sz w:val="24"/>
          <w:szCs w:val="24"/>
        </w:rPr>
        <w:t xml:space="preserve">毕业论文经审核合格后给予5学分。未完成毕业论文或成绩不及格者不计学分。 </w:t>
      </w:r>
    </w:p>
    <w:p w14:paraId="5A82D359">
      <w:pPr>
        <w:widowControl/>
        <w:spacing w:line="360" w:lineRule="auto"/>
        <w:jc w:val="left"/>
        <w:rPr>
          <w:rFonts w:hint="eastAsia" w:ascii="宋体" w:hAnsi="宋体" w:cs="宋体"/>
          <w:b/>
          <w:color w:val="000000"/>
          <w:kern w:val="0"/>
          <w:sz w:val="24"/>
        </w:rPr>
      </w:pPr>
      <w:r>
        <w:rPr>
          <w:rFonts w:hint="eastAsia" w:ascii="宋体" w:hAnsi="宋体" w:cs="宋体"/>
          <w:color w:val="000000"/>
          <w:kern w:val="0"/>
          <w:sz w:val="24"/>
        </w:rPr>
        <w:t xml:space="preserve">  </w:t>
      </w:r>
      <w:r>
        <w:rPr>
          <w:rFonts w:hint="eastAsia" w:ascii="宋体" w:hAnsi="宋体" w:cs="宋体"/>
          <w:b/>
          <w:color w:val="000000"/>
          <w:kern w:val="0"/>
          <w:sz w:val="24"/>
        </w:rPr>
        <w:t xml:space="preserve"> 六、质量保证</w:t>
      </w:r>
    </w:p>
    <w:p w14:paraId="67F2F597">
      <w:pPr>
        <w:widowControl/>
        <w:spacing w:line="360" w:lineRule="auto"/>
        <w:ind w:firstLine="480"/>
        <w:jc w:val="left"/>
        <w:rPr>
          <w:rFonts w:hint="eastAsia" w:ascii="宋体" w:hAnsi="宋体"/>
          <w:sz w:val="24"/>
        </w:rPr>
      </w:pPr>
      <w:r>
        <w:rPr>
          <w:rFonts w:hint="eastAsia" w:ascii="宋体" w:hAnsi="宋体" w:cs="宋体"/>
          <w:color w:val="000000"/>
          <w:kern w:val="0"/>
          <w:sz w:val="24"/>
        </w:rPr>
        <w:t>1、毕业论文</w:t>
      </w:r>
      <w:r>
        <w:rPr>
          <w:rFonts w:hint="eastAsia" w:ascii="宋体" w:hAnsi="宋体"/>
          <w:sz w:val="24"/>
        </w:rPr>
        <w:t>教学工作任务重、环节多，时间紧，分校、工作站应根据省开大</w:t>
      </w:r>
      <w:r>
        <w:rPr>
          <w:rFonts w:hint="eastAsia" w:ascii="宋体" w:hAnsi="宋体" w:cs="宋体"/>
          <w:color w:val="000000"/>
          <w:kern w:val="0"/>
          <w:sz w:val="24"/>
        </w:rPr>
        <w:t>毕业论文工作流程，</w:t>
      </w:r>
      <w:r>
        <w:rPr>
          <w:rFonts w:hint="eastAsia" w:ascii="宋体" w:hAnsi="宋体"/>
          <w:sz w:val="24"/>
        </w:rPr>
        <w:t>科学、合理地制定每学期</w:t>
      </w:r>
      <w:r>
        <w:rPr>
          <w:rFonts w:hint="eastAsia" w:ascii="宋体" w:hAnsi="宋体" w:cs="宋体"/>
          <w:color w:val="000000"/>
          <w:kern w:val="0"/>
          <w:sz w:val="24"/>
        </w:rPr>
        <w:t>毕业论文</w:t>
      </w:r>
      <w:r>
        <w:rPr>
          <w:rFonts w:hint="eastAsia" w:ascii="宋体" w:hAnsi="宋体"/>
          <w:sz w:val="24"/>
        </w:rPr>
        <w:t>工作计划（含进程表），并报上级</w:t>
      </w:r>
      <w:r>
        <w:rPr>
          <w:rFonts w:hint="eastAsia" w:ascii="宋体" w:hAnsi="宋体" w:cs="宋体"/>
          <w:color w:val="000000"/>
          <w:kern w:val="0"/>
          <w:sz w:val="24"/>
        </w:rPr>
        <w:t>毕业论文指导委员会（</w:t>
      </w:r>
      <w:r>
        <w:rPr>
          <w:rFonts w:hint="eastAsia" w:ascii="宋体" w:hAnsi="宋体"/>
          <w:sz w:val="24"/>
        </w:rPr>
        <w:t>开学第一周报）</w:t>
      </w:r>
      <w:r>
        <w:rPr>
          <w:rFonts w:hint="eastAsia" w:ascii="宋体" w:hAnsi="宋体" w:cs="宋体"/>
          <w:color w:val="000000"/>
          <w:kern w:val="0"/>
          <w:sz w:val="24"/>
        </w:rPr>
        <w:t>，</w:t>
      </w:r>
      <w:r>
        <w:rPr>
          <w:rFonts w:hint="eastAsia" w:ascii="宋体" w:hAnsi="宋体"/>
          <w:sz w:val="24"/>
        </w:rPr>
        <w:t>确保</w:t>
      </w:r>
      <w:r>
        <w:rPr>
          <w:rFonts w:hint="eastAsia" w:ascii="宋体" w:hAnsi="宋体" w:cs="宋体"/>
          <w:color w:val="000000"/>
          <w:kern w:val="0"/>
          <w:sz w:val="24"/>
        </w:rPr>
        <w:t>毕业论文</w:t>
      </w:r>
      <w:r>
        <w:rPr>
          <w:rFonts w:hint="eastAsia" w:ascii="宋体" w:hAnsi="宋体"/>
          <w:sz w:val="24"/>
        </w:rPr>
        <w:t>工作正常、有序地开展。</w:t>
      </w:r>
    </w:p>
    <w:p w14:paraId="6EC49026">
      <w:pPr>
        <w:widowControl/>
        <w:spacing w:line="360" w:lineRule="auto"/>
        <w:ind w:firstLine="480"/>
        <w:jc w:val="left"/>
        <w:rPr>
          <w:rFonts w:hint="eastAsia" w:ascii="宋体" w:hAnsi="宋体" w:cs="宋体"/>
          <w:color w:val="000000"/>
          <w:kern w:val="0"/>
          <w:sz w:val="24"/>
        </w:rPr>
      </w:pPr>
      <w:r>
        <w:rPr>
          <w:rFonts w:hint="eastAsia" w:ascii="宋体" w:hAnsi="宋体" w:cs="宋体"/>
          <w:color w:val="000000"/>
          <w:kern w:val="0"/>
          <w:sz w:val="24"/>
        </w:rPr>
        <w:t>2、毕业论文指导教师的水平、能力及责任心直接影响到学生毕业论文的水平。指导教师的聘请和资格审核工作是毕业论文工作中极为重要的环节，各级开大要在思想上充分认识，避免工作中的形式主义、走过场。</w:t>
      </w:r>
    </w:p>
    <w:p w14:paraId="05DAEA09">
      <w:pPr>
        <w:widowControl/>
        <w:spacing w:line="360" w:lineRule="auto"/>
        <w:ind w:firstLine="480"/>
        <w:jc w:val="left"/>
        <w:rPr>
          <w:rFonts w:hint="eastAsia" w:ascii="宋体" w:hAnsi="宋体" w:cs="宋体"/>
          <w:color w:val="000000"/>
          <w:kern w:val="0"/>
          <w:sz w:val="24"/>
        </w:rPr>
      </w:pPr>
      <w:r>
        <w:rPr>
          <w:rFonts w:hint="eastAsia" w:ascii="宋体" w:hAnsi="宋体" w:cs="宋体"/>
          <w:color w:val="000000"/>
          <w:kern w:val="0"/>
          <w:sz w:val="24"/>
        </w:rPr>
        <w:t>针对近年毕业设计终审中发现抄袭现象日益严重的迹象，各级开大应加强对指导教师的管理。省开大在终审中发现疏于指导学生而反映较大、终审成绩和初评、复审成绩差异较大，或所指导的学生毕业设计存在明显抄袭现象的指导教师，将减少其下一学期指导的学生数，指导人数控制在规定数的50％以内。有明显送分情况或学生抄袭现象严重而不纠正的，取消该教师的毕业设计的指导资格。</w:t>
      </w:r>
    </w:p>
    <w:p w14:paraId="3A5101DC">
      <w:pPr>
        <w:widowControl/>
        <w:spacing w:line="360" w:lineRule="auto"/>
        <w:ind w:firstLine="480"/>
        <w:jc w:val="left"/>
        <w:rPr>
          <w:rFonts w:hint="eastAsia" w:ascii="宋体" w:hAnsi="宋体" w:cs="宋体"/>
          <w:color w:val="000000"/>
          <w:kern w:val="0"/>
          <w:sz w:val="24"/>
        </w:rPr>
      </w:pPr>
      <w:r>
        <w:rPr>
          <w:rFonts w:hint="eastAsia" w:ascii="宋体" w:hAnsi="宋体" w:cs="宋体"/>
          <w:color w:val="000000"/>
          <w:kern w:val="0"/>
          <w:sz w:val="24"/>
        </w:rPr>
        <w:t>3、分校、工作站应制定切实可行的质量保证措施，加强对毕业设计教学工作的管理和监控。对不能按照要求组织实施毕业设计教学工作，毕业设计质量得不到切实保证的单位，省校将采取限期整改、暂停招生直至撤消试点办学资格等措施。</w:t>
      </w:r>
    </w:p>
    <w:p w14:paraId="074B972C">
      <w:pPr>
        <w:spacing w:line="360" w:lineRule="auto"/>
        <w:ind w:firstLine="560" w:firstLineChars="200"/>
        <w:rPr>
          <w:sz w:val="28"/>
          <w:szCs w:val="28"/>
        </w:rPr>
      </w:pPr>
    </w:p>
    <w:p w14:paraId="574F2C1C">
      <w:pPr>
        <w:spacing w:line="360" w:lineRule="auto"/>
        <w:ind w:firstLine="482" w:firstLineChars="200"/>
        <w:rPr>
          <w:b/>
          <w:bCs/>
          <w:sz w:val="24"/>
          <w:szCs w:val="24"/>
        </w:rPr>
      </w:pPr>
    </w:p>
    <w:p w14:paraId="4C786F17">
      <w:pPr>
        <w:spacing w:line="360" w:lineRule="auto"/>
        <w:ind w:firstLine="482" w:firstLineChars="200"/>
        <w:rPr>
          <w:b/>
          <w:bCs/>
          <w:sz w:val="24"/>
          <w:szCs w:val="24"/>
        </w:rPr>
      </w:pPr>
    </w:p>
    <w:p w14:paraId="20571803">
      <w:pPr>
        <w:spacing w:line="360" w:lineRule="auto"/>
        <w:ind w:firstLine="482" w:firstLineChars="200"/>
        <w:rPr>
          <w:b/>
          <w:bCs/>
          <w:sz w:val="24"/>
          <w:szCs w:val="24"/>
        </w:rPr>
      </w:pPr>
    </w:p>
    <w:p w14:paraId="7D4ADF76">
      <w:pPr>
        <w:spacing w:line="360" w:lineRule="auto"/>
        <w:ind w:firstLine="482" w:firstLineChars="200"/>
        <w:rPr>
          <w:b/>
          <w:bCs/>
          <w:sz w:val="24"/>
          <w:szCs w:val="24"/>
        </w:rPr>
      </w:pPr>
    </w:p>
    <w:p w14:paraId="0C5B9A1D">
      <w:pPr>
        <w:spacing w:line="360" w:lineRule="auto"/>
        <w:ind w:firstLine="482" w:firstLineChars="200"/>
        <w:rPr>
          <w:b/>
          <w:bCs/>
          <w:sz w:val="24"/>
          <w:szCs w:val="24"/>
        </w:rPr>
      </w:pPr>
    </w:p>
    <w:p w14:paraId="35030F7A">
      <w:pPr>
        <w:spacing w:line="360" w:lineRule="auto"/>
        <w:ind w:firstLine="482" w:firstLineChars="200"/>
        <w:rPr>
          <w:b/>
          <w:bCs/>
          <w:sz w:val="24"/>
          <w:szCs w:val="24"/>
        </w:rPr>
      </w:pPr>
    </w:p>
    <w:p w14:paraId="2302A472">
      <w:pPr>
        <w:spacing w:line="360" w:lineRule="auto"/>
        <w:ind w:firstLine="482" w:firstLineChars="200"/>
        <w:rPr>
          <w:b/>
          <w:bCs/>
          <w:sz w:val="24"/>
          <w:szCs w:val="24"/>
        </w:rPr>
      </w:pPr>
    </w:p>
    <w:p w14:paraId="2E5B770B">
      <w:pPr>
        <w:spacing w:line="360" w:lineRule="auto"/>
        <w:ind w:firstLine="482" w:firstLineChars="200"/>
        <w:rPr>
          <w:b/>
          <w:bCs/>
          <w:sz w:val="24"/>
          <w:szCs w:val="24"/>
        </w:rPr>
      </w:pPr>
    </w:p>
    <w:p w14:paraId="4902776D">
      <w:pPr>
        <w:spacing w:line="360" w:lineRule="auto"/>
        <w:ind w:firstLine="482" w:firstLineChars="200"/>
        <w:rPr>
          <w:b/>
          <w:bCs/>
          <w:sz w:val="24"/>
          <w:szCs w:val="24"/>
        </w:rPr>
      </w:pPr>
    </w:p>
    <w:p w14:paraId="38DDAC74">
      <w:pPr>
        <w:spacing w:line="360" w:lineRule="auto"/>
        <w:ind w:firstLine="482" w:firstLineChars="200"/>
        <w:rPr>
          <w:b/>
          <w:bCs/>
          <w:sz w:val="24"/>
          <w:szCs w:val="24"/>
        </w:rPr>
      </w:pPr>
    </w:p>
    <w:p w14:paraId="12B0389A">
      <w:pPr>
        <w:spacing w:line="360" w:lineRule="auto"/>
        <w:ind w:firstLine="482" w:firstLineChars="200"/>
        <w:rPr>
          <w:b/>
          <w:bCs/>
          <w:sz w:val="24"/>
          <w:szCs w:val="24"/>
        </w:rPr>
      </w:pPr>
    </w:p>
    <w:p w14:paraId="55B33463">
      <w:pPr>
        <w:spacing w:line="360" w:lineRule="auto"/>
        <w:ind w:firstLine="482" w:firstLineChars="200"/>
        <w:rPr>
          <w:b/>
          <w:bCs/>
          <w:sz w:val="24"/>
          <w:szCs w:val="24"/>
        </w:rPr>
      </w:pPr>
    </w:p>
    <w:p w14:paraId="73DBD10A">
      <w:pPr>
        <w:spacing w:line="360" w:lineRule="auto"/>
        <w:ind w:firstLine="482" w:firstLineChars="200"/>
        <w:rPr>
          <w:b/>
          <w:bCs/>
          <w:sz w:val="24"/>
          <w:szCs w:val="24"/>
        </w:rPr>
      </w:pPr>
    </w:p>
    <w:p w14:paraId="43FBB8D6">
      <w:pPr>
        <w:spacing w:line="360" w:lineRule="auto"/>
        <w:ind w:firstLine="482" w:firstLineChars="200"/>
        <w:rPr>
          <w:b/>
          <w:bCs/>
          <w:sz w:val="24"/>
          <w:szCs w:val="24"/>
        </w:rPr>
      </w:pPr>
    </w:p>
    <w:p w14:paraId="261C8DEE">
      <w:pPr>
        <w:spacing w:line="360" w:lineRule="auto"/>
        <w:ind w:firstLine="482" w:firstLineChars="200"/>
        <w:rPr>
          <w:b/>
          <w:bCs/>
          <w:sz w:val="24"/>
          <w:szCs w:val="24"/>
        </w:rPr>
      </w:pPr>
    </w:p>
    <w:p w14:paraId="60BA7CD4">
      <w:pPr>
        <w:spacing w:line="360" w:lineRule="auto"/>
        <w:ind w:firstLine="482" w:firstLineChars="200"/>
        <w:rPr>
          <w:b/>
          <w:bCs/>
          <w:sz w:val="24"/>
          <w:szCs w:val="24"/>
        </w:rPr>
      </w:pPr>
    </w:p>
    <w:p w14:paraId="61AD3B49">
      <w:pPr>
        <w:spacing w:line="360" w:lineRule="auto"/>
        <w:jc w:val="left"/>
        <w:rPr>
          <w:b/>
          <w:bCs/>
          <w:sz w:val="24"/>
          <w:szCs w:val="24"/>
        </w:rPr>
      </w:pPr>
      <w:r>
        <w:rPr>
          <w:rFonts w:hint="eastAsia"/>
          <w:b/>
          <w:bCs/>
          <w:sz w:val="24"/>
          <w:szCs w:val="24"/>
        </w:rPr>
        <w:t>附件</w:t>
      </w:r>
      <w:r>
        <w:rPr>
          <w:b/>
          <w:bCs/>
          <w:sz w:val="24"/>
          <w:szCs w:val="24"/>
        </w:rPr>
        <w:t>1:</w:t>
      </w:r>
      <w:r>
        <w:rPr>
          <w:rFonts w:hint="eastAsia"/>
          <w:b/>
          <w:sz w:val="24"/>
          <w:szCs w:val="24"/>
        </w:rPr>
        <w:t>非学位论文格式</w:t>
      </w:r>
    </w:p>
    <w:p w14:paraId="43A5DAE1">
      <w:pPr>
        <w:rPr>
          <w:sz w:val="28"/>
          <w:szCs w:val="28"/>
        </w:rPr>
      </w:pPr>
      <w:r>
        <w:rPr>
          <w:rFonts w:hint="eastAsia" w:ascii="黑体" w:hAnsi="黑体" w:eastAsia="黑体"/>
          <w:b/>
          <w:sz w:val="32"/>
          <w:szCs w:val="32"/>
        </w:rPr>
        <w:t>非学位论文格式要求</w:t>
      </w:r>
    </w:p>
    <w:p w14:paraId="4CCAB6EA">
      <w:pPr>
        <w:rPr>
          <w:sz w:val="28"/>
          <w:szCs w:val="28"/>
        </w:rPr>
      </w:pPr>
    </w:p>
    <w:p w14:paraId="17D80C4C">
      <w:pPr>
        <w:ind w:firstLine="565" w:firstLineChars="201"/>
        <w:rPr>
          <w:rFonts w:ascii="黑体" w:hAnsi="黑体" w:eastAsia="黑体"/>
          <w:b/>
          <w:sz w:val="28"/>
          <w:szCs w:val="28"/>
        </w:rPr>
      </w:pPr>
      <w:r>
        <w:rPr>
          <w:rFonts w:hint="eastAsia" w:ascii="黑体" w:hAnsi="黑体" w:eastAsia="黑体"/>
          <w:b/>
          <w:sz w:val="28"/>
          <w:szCs w:val="28"/>
        </w:rPr>
        <w:t>一．论文的打印、装订格式说明</w:t>
      </w:r>
    </w:p>
    <w:p w14:paraId="565C788E">
      <w:pPr>
        <w:spacing w:line="360" w:lineRule="auto"/>
        <w:ind w:firstLine="570"/>
        <w:rPr>
          <w:rFonts w:ascii="宋体" w:hAnsi="宋体" w:cs="宋体"/>
          <w:sz w:val="24"/>
        </w:rPr>
      </w:pPr>
      <w:r>
        <w:rPr>
          <w:rFonts w:hint="eastAsia" w:ascii="宋体" w:hAnsi="宋体" w:cs="宋体"/>
          <w:sz w:val="24"/>
        </w:rPr>
        <w:t>1.论文正文页面规格</w:t>
      </w:r>
    </w:p>
    <w:p w14:paraId="3489BB39">
      <w:pPr>
        <w:spacing w:line="360" w:lineRule="auto"/>
        <w:ind w:firstLine="573"/>
        <w:rPr>
          <w:rFonts w:ascii="宋体" w:hAnsi="宋体" w:cs="宋体"/>
          <w:sz w:val="24"/>
        </w:rPr>
      </w:pPr>
      <w:r>
        <w:rPr>
          <w:rFonts w:hint="eastAsia" w:ascii="宋体" w:hAnsi="宋体" w:cs="宋体"/>
          <w:sz w:val="24"/>
        </w:rPr>
        <w:t>论文一律使用A4纸双面居中打印，小四号宋体字体，字符为标准间距，每段左空2字编写；版面设置数据参考值:页边距分别为上、下各2.6cm，左、右各3 cm；页眉、页脚各1.8cm。文字的行间距为1.5倍行距，段间距为0。</w:t>
      </w:r>
    </w:p>
    <w:p w14:paraId="22E0592B">
      <w:pPr>
        <w:spacing w:line="360" w:lineRule="auto"/>
        <w:ind w:firstLine="573"/>
        <w:rPr>
          <w:rFonts w:ascii="宋体" w:hAnsi="宋体" w:cs="宋体"/>
          <w:sz w:val="24"/>
        </w:rPr>
      </w:pPr>
      <w:r>
        <w:rPr>
          <w:rFonts w:hint="eastAsia" w:ascii="宋体" w:hAnsi="宋体" w:cs="宋体"/>
          <w:sz w:val="24"/>
        </w:rPr>
        <w:t xml:space="preserve">2.装订顺序    </w:t>
      </w:r>
    </w:p>
    <w:p w14:paraId="13C989D6">
      <w:pPr>
        <w:spacing w:line="360" w:lineRule="auto"/>
        <w:ind w:firstLine="573"/>
        <w:rPr>
          <w:rFonts w:ascii="宋体" w:hAnsi="宋体" w:cs="宋体"/>
          <w:sz w:val="24"/>
        </w:rPr>
      </w:pPr>
      <w:r>
        <w:rPr>
          <w:rFonts w:hint="eastAsia" w:ascii="宋体" w:hAnsi="宋体" w:cs="宋体"/>
          <w:sz w:val="24"/>
        </w:rPr>
        <w:t>题名页(扉页)——目录——摘要——正文——参考文献——附录</w:t>
      </w:r>
    </w:p>
    <w:p w14:paraId="35B98799">
      <w:pPr>
        <w:spacing w:line="360" w:lineRule="auto"/>
        <w:ind w:firstLine="573"/>
        <w:rPr>
          <w:rFonts w:ascii="宋体" w:hAnsi="宋体" w:cs="宋体"/>
          <w:sz w:val="24"/>
        </w:rPr>
      </w:pPr>
      <w:r>
        <w:rPr>
          <w:rFonts w:hint="eastAsia" w:ascii="宋体" w:hAnsi="宋体" w:cs="宋体"/>
          <w:sz w:val="24"/>
        </w:rPr>
        <w:t>3.排版格式</w:t>
      </w:r>
    </w:p>
    <w:p w14:paraId="2993BC8B">
      <w:pPr>
        <w:spacing w:line="360" w:lineRule="auto"/>
        <w:ind w:firstLine="573"/>
        <w:rPr>
          <w:rFonts w:ascii="宋体" w:hAnsi="宋体" w:cs="宋体"/>
          <w:sz w:val="24"/>
        </w:rPr>
      </w:pPr>
      <w:r>
        <w:rPr>
          <w:rFonts w:hint="eastAsia" w:ascii="宋体" w:hAnsi="宋体" w:cs="宋体"/>
          <w:sz w:val="24"/>
        </w:rPr>
        <w:t>(1)目录</w:t>
      </w:r>
    </w:p>
    <w:p w14:paraId="23B4F0AC">
      <w:pPr>
        <w:spacing w:line="360" w:lineRule="auto"/>
        <w:ind w:firstLine="573"/>
        <w:rPr>
          <w:rFonts w:ascii="宋体" w:hAnsi="宋体" w:cs="宋体"/>
          <w:sz w:val="24"/>
        </w:rPr>
      </w:pPr>
      <w:r>
        <w:rPr>
          <w:rFonts w:hint="eastAsia" w:ascii="宋体" w:hAnsi="宋体" w:cs="宋体"/>
          <w:sz w:val="24"/>
        </w:rPr>
        <w:t xml:space="preserve">“目录”两字居中编排(小二号黑体字体加粗)，两字间空1格(注:“一格”的标准为一个汉字，以下同)，单倍行距，段前、段后各空24磅，下空1行为章、节、条或章、条、款及其开始页码，一般标记到三级标题。每一级标题的层次代号和文字为小四号黑体。      </w:t>
      </w:r>
    </w:p>
    <w:p w14:paraId="6F81B798">
      <w:pPr>
        <w:spacing w:line="360" w:lineRule="auto"/>
        <w:ind w:firstLine="573"/>
        <w:rPr>
          <w:rFonts w:ascii="宋体" w:hAnsi="宋体" w:cs="宋体"/>
          <w:sz w:val="24"/>
        </w:rPr>
      </w:pPr>
      <w:r>
        <w:rPr>
          <w:rFonts w:hint="eastAsia" w:ascii="宋体" w:hAnsi="宋体" w:cs="宋体"/>
          <w:sz w:val="24"/>
        </w:rPr>
        <w:t xml:space="preserve">(2)摘要   </w:t>
      </w:r>
    </w:p>
    <w:p w14:paraId="5E6D3C80">
      <w:pPr>
        <w:spacing w:line="360" w:lineRule="auto"/>
        <w:ind w:firstLine="573"/>
        <w:rPr>
          <w:rFonts w:ascii="宋体" w:hAnsi="宋体" w:cs="宋体"/>
          <w:sz w:val="24"/>
        </w:rPr>
      </w:pPr>
      <w:r>
        <w:rPr>
          <w:rFonts w:hint="eastAsia" w:ascii="宋体" w:hAnsi="宋体" w:cs="宋体"/>
          <w:sz w:val="24"/>
        </w:rPr>
        <w:t xml:space="preserve"> “摘要”两字居中编排(小二号黑体字体加粗)，两字间空1格，单倍行距，段前、段后各空24磅； “摘要”两字下空1行，编排摘要内容(四号宋体字体)。段落按照“首行缩进”格式，每段开头空2格，标点符号占1格；摘要内容后下空1行左空2格编排“关键词”三字(四号黑体字体)，其后为圆角冒号和关键词(四号宋体字体)，关键词之间用分号分隔。</w:t>
      </w:r>
    </w:p>
    <w:p w14:paraId="1FB6E520">
      <w:pPr>
        <w:spacing w:line="360" w:lineRule="auto"/>
        <w:ind w:firstLine="573"/>
        <w:rPr>
          <w:rFonts w:ascii="宋体" w:hAnsi="宋体" w:cs="宋体"/>
          <w:sz w:val="24"/>
        </w:rPr>
      </w:pPr>
      <w:r>
        <w:rPr>
          <w:rFonts w:hint="eastAsia" w:ascii="宋体" w:hAnsi="宋体" w:cs="宋体"/>
          <w:sz w:val="24"/>
        </w:rPr>
        <w:t xml:space="preserve"> (3)正文    </w:t>
      </w:r>
    </w:p>
    <w:p w14:paraId="4680C24F">
      <w:pPr>
        <w:spacing w:line="360" w:lineRule="auto"/>
        <w:ind w:firstLine="573"/>
        <w:rPr>
          <w:rFonts w:ascii="宋体" w:hAnsi="宋体" w:cs="宋体"/>
          <w:sz w:val="24"/>
        </w:rPr>
      </w:pPr>
      <w:r>
        <w:rPr>
          <w:rFonts w:hint="eastAsia" w:ascii="宋体" w:hAnsi="宋体" w:cs="宋体"/>
          <w:sz w:val="24"/>
        </w:rPr>
        <w:t xml:space="preserve">第一层次:1级标题使用小二号黑体字体加粗，单倍行距，段前、段后各空24磅，题序和标题之间以顿号隔开；    </w:t>
      </w:r>
    </w:p>
    <w:p w14:paraId="54AB27B1">
      <w:pPr>
        <w:spacing w:line="360" w:lineRule="auto"/>
        <w:ind w:firstLine="573"/>
        <w:rPr>
          <w:rFonts w:ascii="宋体" w:hAnsi="宋体" w:cs="宋体"/>
          <w:sz w:val="24"/>
        </w:rPr>
      </w:pPr>
      <w:r>
        <w:rPr>
          <w:rFonts w:hint="eastAsia" w:ascii="宋体" w:hAnsi="宋体" w:cs="宋体"/>
          <w:sz w:val="24"/>
        </w:rPr>
        <w:t xml:space="preserve">第二层次:2级标题使用小三号黑体字体加粗，单倍行距，段前、段后各空18磅；    </w:t>
      </w:r>
    </w:p>
    <w:p w14:paraId="451E86B8">
      <w:pPr>
        <w:spacing w:line="360" w:lineRule="auto"/>
        <w:ind w:firstLine="573"/>
        <w:rPr>
          <w:rFonts w:ascii="宋体" w:hAnsi="宋体" w:cs="宋体"/>
          <w:sz w:val="24"/>
        </w:rPr>
      </w:pPr>
      <w:r>
        <w:rPr>
          <w:rFonts w:hint="eastAsia" w:ascii="宋体" w:hAnsi="宋体" w:cs="宋体"/>
          <w:sz w:val="24"/>
        </w:rPr>
        <w:t xml:space="preserve">第三层次:3级标题使用小四号黑体字体加粗，单倍行距，段前、段后各空12磅；    </w:t>
      </w:r>
    </w:p>
    <w:p w14:paraId="3F231D61">
      <w:pPr>
        <w:spacing w:line="360" w:lineRule="auto"/>
        <w:ind w:firstLine="573"/>
        <w:rPr>
          <w:rFonts w:ascii="宋体" w:hAnsi="宋体" w:cs="宋体"/>
          <w:sz w:val="24"/>
        </w:rPr>
      </w:pPr>
      <w:r>
        <w:rPr>
          <w:rFonts w:hint="eastAsia" w:ascii="宋体" w:hAnsi="宋体" w:cs="宋体"/>
          <w:sz w:val="24"/>
        </w:rPr>
        <w:t>第四层次:4级标题使用小四号楷体字加粗；</w:t>
      </w:r>
    </w:p>
    <w:p w14:paraId="412AF897">
      <w:pPr>
        <w:spacing w:line="360" w:lineRule="auto"/>
        <w:ind w:firstLine="573"/>
        <w:rPr>
          <w:rFonts w:ascii="宋体" w:hAnsi="宋体" w:cs="宋体"/>
          <w:sz w:val="24"/>
        </w:rPr>
      </w:pPr>
      <w:r>
        <w:rPr>
          <w:rFonts w:hint="eastAsia" w:ascii="宋体" w:hAnsi="宋体" w:cs="宋体"/>
          <w:sz w:val="24"/>
        </w:rPr>
        <w:t>正文文字内容使用小四号宋体字体，文字的行间距为1.5倍行距，段间距为</w:t>
      </w:r>
      <w:r>
        <w:rPr>
          <w:rFonts w:ascii="宋体" w:hAnsi="宋体" w:cs="宋体"/>
          <w:sz w:val="24"/>
        </w:rPr>
        <w:t>0。</w:t>
      </w:r>
    </w:p>
    <w:p w14:paraId="288F9758">
      <w:pPr>
        <w:spacing w:line="360" w:lineRule="auto"/>
        <w:ind w:firstLine="573"/>
        <w:rPr>
          <w:rFonts w:ascii="宋体" w:hAnsi="宋体" w:cs="宋体"/>
          <w:sz w:val="24"/>
        </w:rPr>
      </w:pPr>
      <w:r>
        <w:rPr>
          <w:rFonts w:hint="eastAsia" w:ascii="宋体" w:hAnsi="宋体" w:cs="宋体"/>
          <w:sz w:val="24"/>
        </w:rPr>
        <w:t xml:space="preserve"> (4)图表    </w:t>
      </w:r>
    </w:p>
    <w:p w14:paraId="27ADC052">
      <w:pPr>
        <w:spacing w:line="360" w:lineRule="auto"/>
        <w:ind w:firstLine="573"/>
        <w:rPr>
          <w:rFonts w:ascii="宋体" w:hAnsi="宋体" w:cs="宋体"/>
          <w:sz w:val="24"/>
        </w:rPr>
      </w:pPr>
      <w:r>
        <w:rPr>
          <w:rFonts w:hint="eastAsia" w:ascii="宋体" w:hAnsi="宋体" w:cs="宋体"/>
          <w:sz w:val="24"/>
        </w:rPr>
        <w:t>图的编号由“图”字和从1开始的阿拉伯数字组成，例如“图1”等。图应当有图题，并置于图的编号之后。图的编号和图题应当置于图下方的居中位置；    表的编号由“表”字和从1开始的阿拉伯数字组成，如“表1”“表2”等。每张表应当有表题，置于表的编号之后。表的编号和表题应当置于表上方的居中位置。</w:t>
      </w:r>
    </w:p>
    <w:p w14:paraId="4FB7C9DA">
      <w:pPr>
        <w:spacing w:line="360" w:lineRule="auto"/>
        <w:ind w:firstLine="573"/>
        <w:rPr>
          <w:rFonts w:ascii="宋体" w:hAnsi="宋体" w:cs="宋体"/>
          <w:sz w:val="24"/>
        </w:rPr>
      </w:pPr>
      <w:r>
        <w:rPr>
          <w:rFonts w:hint="eastAsia" w:ascii="宋体" w:hAnsi="宋体" w:cs="宋体"/>
          <w:sz w:val="24"/>
        </w:rPr>
        <w:t>(5)参考文献</w:t>
      </w:r>
    </w:p>
    <w:p w14:paraId="58C795A6">
      <w:pPr>
        <w:spacing w:line="360" w:lineRule="auto"/>
        <w:ind w:firstLine="573"/>
        <w:rPr>
          <w:rFonts w:ascii="宋体" w:hAnsi="宋体" w:cs="宋体"/>
          <w:sz w:val="24"/>
        </w:rPr>
      </w:pPr>
      <w:r>
        <w:rPr>
          <w:rFonts w:hint="eastAsia" w:ascii="宋体" w:hAnsi="宋体" w:cs="宋体"/>
          <w:sz w:val="24"/>
        </w:rPr>
        <w:t>参考文献是文中引用的有具体文字来源的文献集合。按照GB</w:t>
      </w:r>
      <w:r>
        <w:rPr>
          <w:rFonts w:hint="eastAsia"/>
        </w:rPr>
        <w:t xml:space="preserve"> </w:t>
      </w:r>
      <w:r>
        <w:rPr>
          <w:rFonts w:hint="eastAsia" w:ascii="宋体" w:hAnsi="宋体" w:cs="宋体"/>
          <w:sz w:val="24"/>
        </w:rPr>
        <w:t>7714《文后参考文献著录规则》的规定执行。引用文献总数不少于10篇； 参考文献以文献在整个论文中出现的次序用[1], [2], [3]...…形式统一排序、依次列出；参考文献的表示格式为:</w:t>
      </w:r>
    </w:p>
    <w:p w14:paraId="7BC4D8E4">
      <w:pPr>
        <w:spacing w:line="360" w:lineRule="auto"/>
        <w:ind w:firstLine="573"/>
        <w:rPr>
          <w:rFonts w:ascii="宋体" w:hAnsi="宋体" w:cs="宋体"/>
          <w:sz w:val="24"/>
        </w:rPr>
      </w:pPr>
      <w:r>
        <w:rPr>
          <w:rFonts w:hint="eastAsia" w:ascii="宋体" w:hAnsi="宋体" w:cs="宋体"/>
          <w:sz w:val="24"/>
        </w:rPr>
        <w:t xml:space="preserve">著作: [序号]作者.书名[M].出版地:出版社，出版时间:引用部分起止页 </w:t>
      </w:r>
    </w:p>
    <w:p w14:paraId="49C1AFFE">
      <w:pPr>
        <w:spacing w:line="360" w:lineRule="auto"/>
        <w:ind w:firstLine="573"/>
        <w:rPr>
          <w:rFonts w:ascii="宋体" w:hAnsi="宋体" w:cs="宋体"/>
          <w:sz w:val="24"/>
        </w:rPr>
      </w:pPr>
      <w:r>
        <w:rPr>
          <w:rFonts w:hint="eastAsia" w:ascii="宋体" w:hAnsi="宋体" w:cs="宋体"/>
          <w:sz w:val="24"/>
        </w:rPr>
        <w:t>期刊:[序号]作者.文章题目[J].期刊名，年，卷(期):引用部分起止页</w:t>
      </w:r>
    </w:p>
    <w:p w14:paraId="26898535">
      <w:pPr>
        <w:spacing w:line="360" w:lineRule="auto"/>
        <w:ind w:firstLine="573"/>
        <w:rPr>
          <w:rFonts w:ascii="宋体" w:hAnsi="宋体" w:cs="宋体"/>
          <w:sz w:val="24"/>
        </w:rPr>
      </w:pPr>
      <w:r>
        <w:rPr>
          <w:rFonts w:hint="eastAsia" w:ascii="宋体" w:hAnsi="宋体" w:cs="宋体"/>
          <w:sz w:val="24"/>
        </w:rPr>
        <w:t xml:space="preserve">会议论文集:[序号]作者.文集[C].出版地:出版者，出版时间:引用部分起止页    </w:t>
      </w:r>
    </w:p>
    <w:p w14:paraId="04C8053E">
      <w:pPr>
        <w:spacing w:line="360" w:lineRule="auto"/>
        <w:ind w:firstLine="573"/>
        <w:rPr>
          <w:rFonts w:ascii="宋体" w:hAnsi="宋体" w:cs="宋体"/>
          <w:sz w:val="24"/>
        </w:rPr>
      </w:pPr>
      <w:r>
        <w:rPr>
          <w:rFonts w:hint="eastAsia" w:ascii="宋体" w:hAnsi="宋体" w:cs="宋体"/>
          <w:sz w:val="24"/>
        </w:rPr>
        <w:t xml:space="preserve">学位论文:[序号]作者.题名[D].保存地点:保存单位，年份:引用部分起止页    </w:t>
      </w:r>
    </w:p>
    <w:p w14:paraId="087DDDD7">
      <w:pPr>
        <w:spacing w:line="360" w:lineRule="auto"/>
        <w:ind w:firstLine="573"/>
        <w:rPr>
          <w:rFonts w:ascii="宋体" w:hAnsi="宋体" w:cs="宋体"/>
          <w:sz w:val="24"/>
        </w:rPr>
      </w:pPr>
      <w:r>
        <w:rPr>
          <w:rFonts w:hint="eastAsia" w:ascii="宋体" w:hAnsi="宋体" w:cs="宋体"/>
          <w:sz w:val="24"/>
        </w:rPr>
        <w:t>专利:[序号]专利申请者，题名:国别，专利号 [P].发布日期</w:t>
      </w:r>
    </w:p>
    <w:p w14:paraId="5FB42B10">
      <w:pPr>
        <w:spacing w:line="360" w:lineRule="auto"/>
        <w:ind w:firstLine="573"/>
        <w:rPr>
          <w:rFonts w:ascii="宋体" w:hAnsi="宋体" w:cs="宋体"/>
          <w:sz w:val="24"/>
        </w:rPr>
      </w:pPr>
      <w:r>
        <w:rPr>
          <w:rFonts w:hint="eastAsia" w:ascii="宋体" w:hAnsi="宋体" w:cs="宋体"/>
          <w:sz w:val="24"/>
        </w:rPr>
        <w:t xml:space="preserve"> (6)附录    </w:t>
      </w:r>
    </w:p>
    <w:p w14:paraId="1DE4FA3A">
      <w:pPr>
        <w:spacing w:line="360" w:lineRule="auto"/>
        <w:ind w:firstLine="573"/>
        <w:rPr>
          <w:rFonts w:ascii="宋体" w:hAnsi="宋体" w:cs="宋体"/>
          <w:sz w:val="24"/>
        </w:rPr>
      </w:pPr>
      <w:r>
        <w:rPr>
          <w:rFonts w:hint="eastAsia" w:ascii="宋体" w:hAnsi="宋体" w:cs="宋体"/>
          <w:sz w:val="24"/>
        </w:rPr>
        <w:t xml:space="preserve">依序编排为附录1、附录2与正文分开。    </w:t>
      </w:r>
    </w:p>
    <w:p w14:paraId="74604EBF">
      <w:pPr>
        <w:spacing w:line="360" w:lineRule="auto"/>
        <w:ind w:firstLine="573"/>
        <w:rPr>
          <w:rFonts w:ascii="宋体" w:hAnsi="宋体" w:cs="宋体"/>
          <w:sz w:val="24"/>
        </w:rPr>
      </w:pPr>
      <w:r>
        <w:rPr>
          <w:rFonts w:hint="eastAsia" w:ascii="宋体" w:hAnsi="宋体" w:cs="宋体"/>
          <w:sz w:val="24"/>
        </w:rPr>
        <w:t xml:space="preserve">(7)注释   </w:t>
      </w:r>
    </w:p>
    <w:p w14:paraId="2DB9E0C3">
      <w:pPr>
        <w:spacing w:line="360" w:lineRule="auto"/>
        <w:ind w:firstLine="573"/>
        <w:rPr>
          <w:rFonts w:ascii="宋体" w:hAnsi="宋体" w:cs="宋体"/>
          <w:sz w:val="24"/>
        </w:rPr>
      </w:pPr>
      <w:r>
        <w:rPr>
          <w:rFonts w:hint="eastAsia" w:ascii="宋体" w:hAnsi="宋体" w:cs="宋体"/>
          <w:sz w:val="24"/>
        </w:rPr>
        <w:t xml:space="preserve"> 注释正文用小五号宋体，标表示，每页单独编号。……。附录中的图表公式另编排序号注释序号采用①②③④的方式使用上</w:t>
      </w:r>
    </w:p>
    <w:p w14:paraId="4EF0578E">
      <w:pPr>
        <w:spacing w:line="360" w:lineRule="auto"/>
        <w:jc w:val="center"/>
        <w:rPr>
          <w:rStyle w:val="22"/>
          <w:sz w:val="24"/>
        </w:rPr>
      </w:pPr>
    </w:p>
    <w:p w14:paraId="755BBDB2">
      <w:pPr>
        <w:jc w:val="center"/>
        <w:rPr>
          <w:rStyle w:val="22"/>
          <w:sz w:val="24"/>
        </w:rPr>
      </w:pPr>
    </w:p>
    <w:p w14:paraId="5B895112">
      <w:pPr>
        <w:rPr>
          <w:rFonts w:ascii="黑体" w:hAnsi="黑体" w:eastAsia="黑体"/>
          <w:b/>
          <w:sz w:val="28"/>
          <w:szCs w:val="28"/>
        </w:rPr>
      </w:pPr>
    </w:p>
    <w:p w14:paraId="3DF7FFAC">
      <w:pPr>
        <w:rPr>
          <w:rStyle w:val="22"/>
          <w:sz w:val="24"/>
        </w:rPr>
      </w:pPr>
      <w:r>
        <w:rPr>
          <w:rFonts w:hint="eastAsia" w:ascii="黑体" w:hAnsi="黑体" w:eastAsia="黑体"/>
          <w:b/>
          <w:sz w:val="28"/>
          <w:szCs w:val="28"/>
        </w:rPr>
        <w:t>二．论文格式范例（只作格式参考）</w:t>
      </w:r>
    </w:p>
    <w:p w14:paraId="6E18450B">
      <w:pPr>
        <w:jc w:val="center"/>
        <w:rPr>
          <w:rStyle w:val="22"/>
          <w:sz w:val="24"/>
        </w:rPr>
      </w:pPr>
    </w:p>
    <w:p w14:paraId="341DB5DA">
      <w:pPr>
        <w:jc w:val="center"/>
        <w:rPr>
          <w:rStyle w:val="22"/>
          <w:sz w:val="24"/>
        </w:rPr>
      </w:pPr>
    </w:p>
    <w:p w14:paraId="72D63399">
      <w:pPr>
        <w:jc w:val="center"/>
        <w:rPr>
          <w:rStyle w:val="22"/>
        </w:rPr>
      </w:pPr>
      <w:r>
        <w:rPr>
          <w:rStyle w:val="22"/>
          <w:rFonts w:hint="eastAsia"/>
        </w:rPr>
        <w:t>国家开放大学</w:t>
      </w:r>
    </w:p>
    <w:p w14:paraId="1E8678C2">
      <w:pPr>
        <w:jc w:val="center"/>
        <w:rPr>
          <w:rStyle w:val="21"/>
        </w:rPr>
      </w:pPr>
    </w:p>
    <w:p w14:paraId="27D36DD7">
      <w:pPr>
        <w:jc w:val="center"/>
        <w:rPr>
          <w:rStyle w:val="21"/>
          <w:sz w:val="52"/>
          <w:szCs w:val="52"/>
        </w:rPr>
      </w:pPr>
      <w:r>
        <w:rPr>
          <w:rStyle w:val="21"/>
          <w:rFonts w:hint="eastAsia"/>
          <w:sz w:val="52"/>
          <w:szCs w:val="52"/>
        </w:rPr>
        <w:t>毕业论文</w:t>
      </w:r>
    </w:p>
    <w:p w14:paraId="75298FE4">
      <w:pPr>
        <w:jc w:val="center"/>
        <w:rPr>
          <w:rStyle w:val="21"/>
        </w:rPr>
      </w:pPr>
    </w:p>
    <w:p w14:paraId="56822646">
      <w:pPr>
        <w:ind w:firstLine="560"/>
        <w:rPr>
          <w:sz w:val="28"/>
          <w:szCs w:val="28"/>
        </w:rPr>
      </w:pPr>
      <w:r>
        <w:rPr>
          <w:rFonts w:hint="eastAsia"/>
          <w:sz w:val="28"/>
          <w:szCs w:val="28"/>
        </w:rPr>
        <w:t>中文题目：基于CDM项目下碳排放权的会计处理问题探析</w:t>
      </w:r>
      <w:r>
        <w:rPr>
          <w:sz w:val="28"/>
          <w:szCs w:val="28"/>
        </w:rPr>
        <w:t xml:space="preserve"> </w:t>
      </w:r>
    </w:p>
    <w:p w14:paraId="5A031C6D">
      <w:pPr>
        <w:jc w:val="center"/>
        <w:rPr>
          <w:rStyle w:val="21"/>
        </w:rPr>
      </w:pPr>
    </w:p>
    <w:p w14:paraId="44666900">
      <w:pPr>
        <w:jc w:val="center"/>
        <w:rPr>
          <w:rStyle w:val="20"/>
        </w:rPr>
      </w:pPr>
    </w:p>
    <w:p w14:paraId="27D6F1F4">
      <w:pPr>
        <w:jc w:val="center"/>
        <w:rPr>
          <w:rStyle w:val="20"/>
          <w:sz w:val="40"/>
        </w:rPr>
      </w:pPr>
    </w:p>
    <w:p w14:paraId="7C0CE605">
      <w:pPr>
        <w:spacing w:before="200" w:line="360" w:lineRule="exact"/>
        <w:ind w:firstLine="2158" w:firstLineChars="771"/>
        <w:rPr>
          <w:sz w:val="28"/>
          <w:szCs w:val="28"/>
        </w:rPr>
      </w:pPr>
      <w:r>
        <w:rPr>
          <w:rFonts w:hint="eastAsia"/>
          <w:sz w:val="28"/>
          <w:szCs w:val="28"/>
        </w:rPr>
        <w:t>分部：福建分部</w:t>
      </w:r>
      <w:r>
        <w:rPr>
          <w:sz w:val="28"/>
          <w:szCs w:val="28"/>
        </w:rPr>
        <w:t xml:space="preserve"> </w:t>
      </w:r>
    </w:p>
    <w:p w14:paraId="15E1397E">
      <w:pPr>
        <w:spacing w:before="200" w:line="360" w:lineRule="exact"/>
        <w:ind w:firstLine="2158" w:firstLineChars="771"/>
        <w:rPr>
          <w:sz w:val="28"/>
          <w:szCs w:val="28"/>
        </w:rPr>
      </w:pPr>
      <w:r>
        <w:rPr>
          <w:rFonts w:hint="eastAsia"/>
          <w:sz w:val="28"/>
          <w:szCs w:val="28"/>
        </w:rPr>
        <w:t>学习中心：*</w:t>
      </w:r>
      <w:r>
        <w:rPr>
          <w:sz w:val="28"/>
          <w:szCs w:val="28"/>
        </w:rPr>
        <w:t>*</w:t>
      </w:r>
      <w:r>
        <w:rPr>
          <w:rFonts w:hint="eastAsia"/>
          <w:sz w:val="28"/>
          <w:szCs w:val="28"/>
        </w:rPr>
        <w:t>学习中心</w:t>
      </w:r>
    </w:p>
    <w:p w14:paraId="7C674AFF">
      <w:pPr>
        <w:spacing w:before="200" w:line="360" w:lineRule="exact"/>
        <w:ind w:firstLine="2125" w:firstLineChars="759"/>
        <w:rPr>
          <w:sz w:val="28"/>
          <w:szCs w:val="28"/>
        </w:rPr>
      </w:pPr>
      <w:r>
        <w:rPr>
          <w:rFonts w:hint="eastAsia"/>
          <w:sz w:val="28"/>
          <w:szCs w:val="28"/>
        </w:rPr>
        <w:t>专业：会计学</w:t>
      </w:r>
    </w:p>
    <w:p w14:paraId="21B509A1">
      <w:pPr>
        <w:spacing w:before="200" w:line="360" w:lineRule="exact"/>
        <w:ind w:firstLine="2125" w:firstLineChars="759"/>
        <w:rPr>
          <w:sz w:val="28"/>
          <w:szCs w:val="28"/>
        </w:rPr>
      </w:pPr>
      <w:r>
        <w:rPr>
          <w:rFonts w:hint="eastAsia"/>
          <w:sz w:val="28"/>
          <w:szCs w:val="28"/>
        </w:rPr>
        <w:t>年级：20</w:t>
      </w:r>
      <w:r>
        <w:rPr>
          <w:sz w:val="28"/>
          <w:szCs w:val="28"/>
        </w:rPr>
        <w:t>**</w:t>
      </w:r>
      <w:r>
        <w:rPr>
          <w:rFonts w:hint="eastAsia"/>
          <w:sz w:val="28"/>
          <w:szCs w:val="28"/>
        </w:rPr>
        <w:t>年春（秋）</w:t>
      </w:r>
    </w:p>
    <w:p w14:paraId="393F3C08">
      <w:pPr>
        <w:spacing w:before="200" w:line="360" w:lineRule="exact"/>
        <w:ind w:firstLine="2125" w:firstLineChars="759"/>
        <w:rPr>
          <w:sz w:val="28"/>
          <w:szCs w:val="28"/>
        </w:rPr>
      </w:pPr>
      <w:r>
        <w:rPr>
          <w:rFonts w:hint="eastAsia"/>
          <w:sz w:val="28"/>
          <w:szCs w:val="28"/>
        </w:rPr>
        <w:t>学号：153500125</w:t>
      </w:r>
      <w:r>
        <w:rPr>
          <w:sz w:val="28"/>
          <w:szCs w:val="28"/>
        </w:rPr>
        <w:t>****</w:t>
      </w:r>
    </w:p>
    <w:p w14:paraId="49EED0E1">
      <w:pPr>
        <w:spacing w:before="200" w:line="360" w:lineRule="exact"/>
        <w:ind w:firstLine="2125" w:firstLineChars="759"/>
        <w:rPr>
          <w:sz w:val="28"/>
          <w:szCs w:val="28"/>
        </w:rPr>
      </w:pPr>
      <w:r>
        <w:rPr>
          <w:rFonts w:hint="eastAsia"/>
          <w:sz w:val="28"/>
          <w:szCs w:val="28"/>
        </w:rPr>
        <w:t>姓名：*</w:t>
      </w:r>
      <w:r>
        <w:rPr>
          <w:sz w:val="28"/>
          <w:szCs w:val="28"/>
        </w:rPr>
        <w:t>**</w:t>
      </w:r>
    </w:p>
    <w:p w14:paraId="69D016A3">
      <w:pPr>
        <w:spacing w:before="200" w:line="360" w:lineRule="exact"/>
        <w:ind w:firstLine="2125" w:firstLineChars="759"/>
        <w:rPr>
          <w:sz w:val="28"/>
          <w:szCs w:val="28"/>
        </w:rPr>
      </w:pPr>
      <w:r>
        <w:rPr>
          <w:rFonts w:hint="eastAsia"/>
          <w:sz w:val="28"/>
          <w:szCs w:val="28"/>
        </w:rPr>
        <w:t>指导教师：*</w:t>
      </w:r>
      <w:r>
        <w:rPr>
          <w:sz w:val="28"/>
          <w:szCs w:val="28"/>
        </w:rPr>
        <w:t>**</w:t>
      </w:r>
    </w:p>
    <w:p w14:paraId="6F014F51">
      <w:pPr>
        <w:spacing w:before="200"/>
        <w:ind w:firstLine="2125" w:firstLineChars="759"/>
        <w:rPr>
          <w:sz w:val="28"/>
          <w:szCs w:val="28"/>
        </w:rPr>
      </w:pPr>
    </w:p>
    <w:p w14:paraId="204CCA0B"/>
    <w:p w14:paraId="3CEFC5F6">
      <w:pPr>
        <w:jc w:val="center"/>
      </w:pPr>
      <w:r>
        <w:rPr>
          <w:rFonts w:hint="eastAsia"/>
          <w:sz w:val="28"/>
        </w:rPr>
        <w:t>论文完成日期:  202</w:t>
      </w:r>
      <w:r>
        <w:rPr>
          <w:sz w:val="28"/>
        </w:rPr>
        <w:t>*</w:t>
      </w:r>
      <w:r>
        <w:rPr>
          <w:rFonts w:hint="eastAsia"/>
          <w:sz w:val="28"/>
        </w:rPr>
        <w:t xml:space="preserve"> 年 </w:t>
      </w:r>
      <w:r>
        <w:rPr>
          <w:sz w:val="28"/>
        </w:rPr>
        <w:t>*</w:t>
      </w:r>
      <w:r>
        <w:rPr>
          <w:rFonts w:hint="eastAsia"/>
          <w:sz w:val="28"/>
        </w:rPr>
        <w:t xml:space="preserve"> 月</w:t>
      </w:r>
    </w:p>
    <w:p w14:paraId="558A5086">
      <w:pPr>
        <w:spacing w:line="520" w:lineRule="exact"/>
        <w:jc w:val="center"/>
        <w:rPr>
          <w:rFonts w:ascii="黑体" w:hAnsi="黑体" w:eastAsia="黑体" w:cs="黑体"/>
          <w:b/>
          <w:sz w:val="36"/>
          <w:szCs w:val="36"/>
        </w:rPr>
      </w:pPr>
      <w:r>
        <w:rPr>
          <w:rFonts w:ascii="仿宋" w:hAnsi="仿宋" w:eastAsia="仿宋"/>
          <w:sz w:val="30"/>
          <w:szCs w:val="30"/>
        </w:rPr>
        <w:br w:type="page"/>
      </w:r>
      <w:bookmarkStart w:id="1" w:name="封2"/>
      <w:bookmarkEnd w:id="1"/>
      <w:commentRangeStart w:id="0"/>
      <w:r>
        <w:rPr>
          <w:rFonts w:hint="eastAsia" w:ascii="黑体" w:hAnsi="黑体" w:eastAsia="黑体" w:cs="黑体"/>
          <w:b/>
          <w:sz w:val="36"/>
          <w:szCs w:val="36"/>
        </w:rPr>
        <w:t>目 录</w:t>
      </w:r>
      <w:commentRangeEnd w:id="0"/>
      <w:r>
        <w:rPr>
          <w:rStyle w:val="16"/>
        </w:rPr>
        <w:commentReference w:id="0"/>
      </w:r>
    </w:p>
    <w:p w14:paraId="363FFC92">
      <w:pPr>
        <w:jc w:val="center"/>
        <w:rPr>
          <w:rFonts w:ascii="黑体" w:hAnsi="黑体" w:eastAsia="黑体" w:cs="黑体"/>
          <w:b/>
          <w:sz w:val="24"/>
        </w:rPr>
      </w:pPr>
    </w:p>
    <w:p w14:paraId="4FC9495A">
      <w:pPr>
        <w:pStyle w:val="28"/>
        <w:tabs>
          <w:tab w:val="right" w:leader="dot" w:pos="8306"/>
        </w:tabs>
        <w:spacing w:after="0" w:line="360" w:lineRule="auto"/>
        <w:rPr>
          <w:rFonts w:ascii="黑体" w:hAnsi="黑体" w:eastAsia="黑体" w:cs="宋体"/>
          <w:bCs/>
          <w:sz w:val="24"/>
          <w:szCs w:val="24"/>
        </w:rPr>
      </w:pPr>
      <w:r>
        <w:rPr>
          <w:rFonts w:hint="eastAsia" w:ascii="宋体" w:hAnsi="宋体" w:cs="宋体"/>
          <w:bCs/>
          <w:sz w:val="24"/>
          <w:szCs w:val="24"/>
        </w:rPr>
        <w:fldChar w:fldCharType="begin"/>
      </w:r>
      <w:r>
        <w:rPr>
          <w:rFonts w:hint="eastAsia" w:ascii="宋体" w:hAnsi="宋体" w:cs="宋体"/>
          <w:bCs/>
          <w:sz w:val="24"/>
          <w:szCs w:val="24"/>
        </w:rPr>
        <w:instrText xml:space="preserve">TOC \o "1-3" \h \u </w:instrText>
      </w:r>
      <w:r>
        <w:rPr>
          <w:rFonts w:hint="eastAsia" w:ascii="宋体" w:hAnsi="宋体" w:cs="宋体"/>
          <w:bCs/>
          <w:sz w:val="24"/>
          <w:szCs w:val="24"/>
        </w:rPr>
        <w:fldChar w:fldCharType="separate"/>
      </w:r>
      <w:r>
        <w:fldChar w:fldCharType="begin"/>
      </w:r>
      <w:r>
        <w:instrText xml:space="preserve"> HYPERLINK \l "_Toc667" </w:instrText>
      </w:r>
      <w:r>
        <w:fldChar w:fldCharType="separate"/>
      </w:r>
      <w:r>
        <w:rPr>
          <w:rFonts w:hint="eastAsia" w:ascii="黑体" w:hAnsi="黑体" w:eastAsia="黑体" w:cs="宋体"/>
          <w:bCs/>
          <w:sz w:val="24"/>
          <w:szCs w:val="24"/>
        </w:rPr>
        <w:t>摘 要</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_Toc667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2</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780FD324">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"_Toc23748" </w:instrText>
      </w:r>
      <w:r>
        <w:fldChar w:fldCharType="separate"/>
      </w:r>
      <w:r>
        <w:rPr>
          <w:rFonts w:hint="eastAsia" w:ascii="黑体" w:hAnsi="黑体" w:eastAsia="黑体" w:cs="宋体"/>
          <w:bCs/>
          <w:sz w:val="24"/>
          <w:szCs w:val="24"/>
        </w:rPr>
        <w:t>一、基于 CDM 项目的原始碳排放权概述</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_Toc23748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3</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1223F6EE">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"_Toc14418" </w:instrText>
      </w:r>
      <w:r>
        <w:fldChar w:fldCharType="separate"/>
      </w:r>
      <w:r>
        <w:rPr>
          <w:rFonts w:hint="eastAsia" w:ascii="黑体" w:hAnsi="黑体" w:eastAsia="黑体" w:cs="宋体"/>
          <w:bCs/>
          <w:sz w:val="24"/>
          <w:szCs w:val="24"/>
        </w:rPr>
        <w:t>（一）碳排放权交易</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_Toc14418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3</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08C4BCD7">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"_Toc16084" </w:instrText>
      </w:r>
      <w:r>
        <w:fldChar w:fldCharType="separate"/>
      </w:r>
      <w:r>
        <w:rPr>
          <w:rFonts w:hint="eastAsia" w:ascii="黑体" w:hAnsi="黑体" w:eastAsia="黑体" w:cs="宋体"/>
          <w:bCs/>
          <w:sz w:val="24"/>
          <w:szCs w:val="24"/>
        </w:rPr>
        <w:t>（二）CDM 项目</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_Toc16084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5</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7E8D364E">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"_Toc13801" </w:instrText>
      </w:r>
      <w:r>
        <w:fldChar w:fldCharType="separate"/>
      </w:r>
      <w:r>
        <w:rPr>
          <w:rFonts w:hint="eastAsia" w:ascii="黑体" w:hAnsi="黑体" w:eastAsia="黑体" w:cs="宋体"/>
          <w:bCs/>
          <w:sz w:val="24"/>
          <w:szCs w:val="24"/>
        </w:rPr>
        <w:t>二、基于 CDM 项目的碳排放权的特征及其会计理论确认</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_Toc13801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5</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0A694301">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"_Toc5757" </w:instrText>
      </w:r>
      <w:r>
        <w:fldChar w:fldCharType="separate"/>
      </w:r>
      <w:r>
        <w:rPr>
          <w:rFonts w:hint="eastAsia" w:ascii="黑体" w:hAnsi="黑体" w:eastAsia="黑体" w:cs="宋体"/>
          <w:bCs/>
          <w:sz w:val="24"/>
          <w:szCs w:val="24"/>
        </w:rPr>
        <w:t>（一）基于 CDM 的碳排放权应当确认为资产</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_Toc5757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5</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033C29CD">
      <w:pPr>
        <w:pStyle w:val="28"/>
        <w:tabs>
          <w:tab w:val="right" w:leader="dot" w:pos="8306"/>
        </w:tabs>
        <w:spacing w:line="360" w:lineRule="auto"/>
        <w:rPr>
          <w:rFonts w:ascii="黑体" w:hAnsi="黑体" w:eastAsia="黑体" w:cs="宋体"/>
          <w:bCs/>
          <w:sz w:val="24"/>
        </w:rPr>
      </w:pPr>
      <w:r>
        <w:fldChar w:fldCharType="begin"/>
      </w:r>
      <w:r>
        <w:instrText xml:space="preserve"> HYPERLINK \l "_Toc19448" </w:instrText>
      </w:r>
      <w:r>
        <w:fldChar w:fldCharType="separate"/>
      </w:r>
      <w:r>
        <w:rPr>
          <w:rFonts w:hint="eastAsia" w:ascii="黑体" w:hAnsi="黑体" w:eastAsia="黑体" w:cs="宋体"/>
          <w:bCs/>
          <w:sz w:val="24"/>
        </w:rPr>
        <w:t>1</w:t>
      </w:r>
      <w:r>
        <w:rPr>
          <w:rFonts w:ascii="黑体" w:hAnsi="黑体" w:eastAsia="黑体" w:cs="宋体"/>
          <w:bCs/>
          <w:sz w:val="24"/>
        </w:rPr>
        <w:t>.</w:t>
      </w:r>
      <w:r>
        <w:rPr>
          <w:rFonts w:hint="eastAsia" w:ascii="黑体" w:hAnsi="黑体" w:eastAsia="黑体" w:cs="宋体"/>
          <w:bCs/>
          <w:sz w:val="24"/>
        </w:rPr>
        <w:t>由过去的交易或者事项形成的</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_Toc19448 </w:instrText>
      </w:r>
      <w:r>
        <w:rPr>
          <w:rFonts w:hint="eastAsia" w:ascii="黑体" w:hAnsi="黑体" w:eastAsia="黑体" w:cs="宋体"/>
          <w:bCs/>
          <w:sz w:val="24"/>
        </w:rPr>
        <w:fldChar w:fldCharType="separate"/>
      </w:r>
      <w:r>
        <w:rPr>
          <w:rFonts w:hint="eastAsia" w:ascii="黑体" w:hAnsi="黑体" w:eastAsia="黑体" w:cs="宋体"/>
          <w:bCs/>
          <w:sz w:val="24"/>
        </w:rPr>
        <w:t>5</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361C45EF">
      <w:pPr>
        <w:pStyle w:val="28"/>
        <w:tabs>
          <w:tab w:val="right" w:leader="dot" w:pos="8306"/>
        </w:tabs>
        <w:spacing w:line="360" w:lineRule="auto"/>
        <w:rPr>
          <w:rFonts w:ascii="黑体" w:hAnsi="黑体" w:eastAsia="黑体" w:cs="宋体"/>
          <w:bCs/>
          <w:sz w:val="24"/>
        </w:rPr>
      </w:pPr>
      <w:r>
        <w:fldChar w:fldCharType="begin"/>
      </w:r>
      <w:r>
        <w:instrText xml:space="preserve"> HYPERLINK \l "_Toc27597" </w:instrText>
      </w:r>
      <w:r>
        <w:fldChar w:fldCharType="separate"/>
      </w:r>
      <w:r>
        <w:rPr>
          <w:rFonts w:hint="eastAsia" w:ascii="黑体" w:hAnsi="黑体" w:eastAsia="黑体" w:cs="宋体"/>
          <w:bCs/>
          <w:sz w:val="24"/>
        </w:rPr>
        <w:t>2</w:t>
      </w:r>
      <w:r>
        <w:rPr>
          <w:rFonts w:ascii="黑体" w:hAnsi="黑体" w:eastAsia="黑体" w:cs="宋体"/>
          <w:bCs/>
          <w:sz w:val="24"/>
        </w:rPr>
        <w:t>.</w:t>
      </w:r>
      <w:r>
        <w:rPr>
          <w:rFonts w:hint="eastAsia" w:ascii="黑体" w:hAnsi="黑体" w:eastAsia="黑体" w:cs="宋体"/>
          <w:bCs/>
          <w:sz w:val="24"/>
        </w:rPr>
        <w:t>由企业控制和拥有的资源</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_Toc27597 </w:instrText>
      </w:r>
      <w:r>
        <w:rPr>
          <w:rFonts w:hint="eastAsia" w:ascii="黑体" w:hAnsi="黑体" w:eastAsia="黑体" w:cs="宋体"/>
          <w:bCs/>
          <w:sz w:val="24"/>
        </w:rPr>
        <w:fldChar w:fldCharType="separate"/>
      </w:r>
      <w:r>
        <w:rPr>
          <w:rFonts w:hint="eastAsia" w:ascii="黑体" w:hAnsi="黑体" w:eastAsia="黑体" w:cs="宋体"/>
          <w:bCs/>
          <w:sz w:val="24"/>
        </w:rPr>
        <w:t>5</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75B3BEF6">
      <w:pPr>
        <w:pStyle w:val="28"/>
        <w:tabs>
          <w:tab w:val="right" w:leader="dot" w:pos="8306"/>
        </w:tabs>
        <w:spacing w:line="360" w:lineRule="auto"/>
        <w:rPr>
          <w:rFonts w:ascii="黑体" w:hAnsi="黑体" w:eastAsia="黑体" w:cs="宋体"/>
          <w:bCs/>
          <w:sz w:val="24"/>
        </w:rPr>
      </w:pPr>
      <w:r>
        <w:fldChar w:fldCharType="begin"/>
      </w:r>
      <w:r>
        <w:instrText xml:space="preserve"> HYPERLINK \l "_Toc14764" </w:instrText>
      </w:r>
      <w:r>
        <w:fldChar w:fldCharType="separate"/>
      </w:r>
      <w:r>
        <w:rPr>
          <w:rFonts w:hint="eastAsia" w:ascii="黑体" w:hAnsi="黑体" w:eastAsia="黑体" w:cs="宋体"/>
          <w:bCs/>
          <w:sz w:val="24"/>
        </w:rPr>
        <w:t>3</w:t>
      </w:r>
      <w:r>
        <w:rPr>
          <w:rFonts w:ascii="黑体" w:hAnsi="黑体" w:eastAsia="黑体" w:cs="宋体"/>
          <w:bCs/>
          <w:sz w:val="24"/>
        </w:rPr>
        <w:t>.</w:t>
      </w:r>
      <w:r>
        <w:rPr>
          <w:rFonts w:hint="eastAsia" w:ascii="黑体" w:hAnsi="黑体" w:eastAsia="黑体" w:cs="宋体"/>
          <w:bCs/>
          <w:sz w:val="24"/>
        </w:rPr>
        <w:t>可以为企业带来经济利益的流入</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_Toc14764 </w:instrText>
      </w:r>
      <w:r>
        <w:rPr>
          <w:rFonts w:hint="eastAsia" w:ascii="黑体" w:hAnsi="黑体" w:eastAsia="黑体" w:cs="宋体"/>
          <w:bCs/>
          <w:sz w:val="24"/>
        </w:rPr>
        <w:fldChar w:fldCharType="separate"/>
      </w:r>
      <w:r>
        <w:rPr>
          <w:rFonts w:hint="eastAsia" w:ascii="黑体" w:hAnsi="黑体" w:eastAsia="黑体" w:cs="宋体"/>
          <w:bCs/>
          <w:sz w:val="24"/>
        </w:rPr>
        <w:t>6</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0BB1CBBF">
      <w:pPr>
        <w:pStyle w:val="28"/>
        <w:tabs>
          <w:tab w:val="right" w:leader="dot" w:pos="8306"/>
        </w:tabs>
        <w:spacing w:line="360" w:lineRule="auto"/>
        <w:rPr>
          <w:rFonts w:ascii="黑体" w:hAnsi="黑体" w:eastAsia="黑体" w:cs="宋体"/>
          <w:bCs/>
          <w:sz w:val="24"/>
        </w:rPr>
      </w:pPr>
      <w:r>
        <w:fldChar w:fldCharType="begin"/>
      </w:r>
      <w:r>
        <w:instrText xml:space="preserve"> HYPERLINK \l "_Toc15715" </w:instrText>
      </w:r>
      <w:r>
        <w:fldChar w:fldCharType="separate"/>
      </w:r>
      <w:r>
        <w:rPr>
          <w:rFonts w:hint="eastAsia" w:ascii="黑体" w:hAnsi="黑体" w:eastAsia="黑体" w:cs="宋体"/>
          <w:bCs/>
          <w:sz w:val="24"/>
        </w:rPr>
        <w:t>4</w:t>
      </w:r>
      <w:r>
        <w:rPr>
          <w:rFonts w:ascii="黑体" w:hAnsi="黑体" w:eastAsia="黑体" w:cs="宋体"/>
          <w:bCs/>
          <w:sz w:val="24"/>
        </w:rPr>
        <w:t>.</w:t>
      </w:r>
      <w:r>
        <w:rPr>
          <w:rFonts w:hint="eastAsia" w:ascii="黑体" w:hAnsi="黑体" w:eastAsia="黑体" w:cs="宋体"/>
          <w:bCs/>
          <w:sz w:val="24"/>
        </w:rPr>
        <w:t>成本能够进行有效计量</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_Toc15715 </w:instrText>
      </w:r>
      <w:r>
        <w:rPr>
          <w:rFonts w:hint="eastAsia" w:ascii="黑体" w:hAnsi="黑体" w:eastAsia="黑体" w:cs="宋体"/>
          <w:bCs/>
          <w:sz w:val="24"/>
        </w:rPr>
        <w:fldChar w:fldCharType="separate"/>
      </w:r>
      <w:r>
        <w:rPr>
          <w:rFonts w:hint="eastAsia" w:ascii="黑体" w:hAnsi="黑体" w:eastAsia="黑体" w:cs="宋体"/>
          <w:bCs/>
          <w:sz w:val="24"/>
        </w:rPr>
        <w:t>6</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3EE212E9">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"_Toc18930" </w:instrText>
      </w:r>
      <w:r>
        <w:fldChar w:fldCharType="separate"/>
      </w:r>
      <w:r>
        <w:rPr>
          <w:rFonts w:hint="eastAsia" w:ascii="黑体" w:hAnsi="黑体" w:eastAsia="黑体" w:cs="宋体"/>
          <w:bCs/>
          <w:sz w:val="24"/>
          <w:szCs w:val="24"/>
        </w:rPr>
        <w:t>（二）用于日常生产情况下确认为无形资产</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_Toc18930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6</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01FC5B27">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"_Toc32284" </w:instrText>
      </w:r>
      <w:r>
        <w:fldChar w:fldCharType="separate"/>
      </w:r>
      <w:r>
        <w:rPr>
          <w:rFonts w:hint="eastAsia" w:ascii="黑体" w:hAnsi="黑体" w:eastAsia="黑体" w:cs="宋体"/>
          <w:bCs/>
          <w:sz w:val="24"/>
          <w:szCs w:val="24"/>
        </w:rPr>
        <w:t>（三）企业用于出售情况下确认为金融资产</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_Toc32284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7</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494186DD">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"_Toc12621" </w:instrText>
      </w:r>
      <w:r>
        <w:fldChar w:fldCharType="separate"/>
      </w:r>
      <w:r>
        <w:rPr>
          <w:rFonts w:hint="eastAsia" w:ascii="黑体" w:hAnsi="黑体" w:eastAsia="黑体" w:cs="宋体"/>
          <w:bCs/>
          <w:sz w:val="24"/>
          <w:szCs w:val="24"/>
        </w:rPr>
        <w:t>三．基于 CDM 项目的碳排放权的初始计量与后续计量</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_Toc12621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7</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71DF9FC1">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"_Toc20764" </w:instrText>
      </w:r>
      <w:r>
        <w:fldChar w:fldCharType="separate"/>
      </w:r>
      <w:r>
        <w:rPr>
          <w:rFonts w:hint="eastAsia" w:ascii="黑体" w:hAnsi="黑体" w:eastAsia="黑体" w:cs="宋体"/>
          <w:bCs/>
          <w:sz w:val="24"/>
          <w:szCs w:val="24"/>
        </w:rPr>
        <w:t>（一）确认为无形资产时碳排放权的计量</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_Toc20764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7</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2B00AD4B">
      <w:pPr>
        <w:pStyle w:val="28"/>
        <w:tabs>
          <w:tab w:val="right" w:leader="dot" w:pos="8306"/>
        </w:tabs>
        <w:spacing w:line="360" w:lineRule="auto"/>
        <w:rPr>
          <w:rFonts w:ascii="黑体" w:hAnsi="黑体" w:eastAsia="黑体" w:cs="宋体"/>
          <w:bCs/>
          <w:sz w:val="24"/>
        </w:rPr>
      </w:pPr>
      <w:r>
        <w:fldChar w:fldCharType="begin"/>
      </w:r>
      <w:r>
        <w:instrText xml:space="preserve"> HYPERLINK \l "_Toc3131" </w:instrText>
      </w:r>
      <w:r>
        <w:fldChar w:fldCharType="separate"/>
      </w:r>
      <w:r>
        <w:rPr>
          <w:rFonts w:hint="eastAsia" w:ascii="黑体" w:hAnsi="黑体" w:eastAsia="黑体" w:cs="宋体"/>
          <w:bCs/>
          <w:sz w:val="24"/>
        </w:rPr>
        <w:t>1</w:t>
      </w:r>
      <w:r>
        <w:rPr>
          <w:rFonts w:ascii="黑体" w:hAnsi="黑体" w:eastAsia="黑体" w:cs="宋体"/>
          <w:bCs/>
          <w:sz w:val="24"/>
        </w:rPr>
        <w:t>.</w:t>
      </w:r>
      <w:r>
        <w:rPr>
          <w:rFonts w:hint="eastAsia" w:ascii="黑体" w:hAnsi="黑体" w:eastAsia="黑体" w:cs="宋体"/>
          <w:bCs/>
          <w:sz w:val="24"/>
        </w:rPr>
        <w:t>初始计量</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_Toc3131 </w:instrText>
      </w:r>
      <w:r>
        <w:rPr>
          <w:rFonts w:hint="eastAsia" w:ascii="黑体" w:hAnsi="黑体" w:eastAsia="黑体" w:cs="宋体"/>
          <w:bCs/>
          <w:sz w:val="24"/>
        </w:rPr>
        <w:fldChar w:fldCharType="separate"/>
      </w:r>
      <w:r>
        <w:rPr>
          <w:rFonts w:hint="eastAsia" w:ascii="黑体" w:hAnsi="黑体" w:eastAsia="黑体" w:cs="宋体"/>
          <w:bCs/>
          <w:sz w:val="24"/>
        </w:rPr>
        <w:t>7</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5404EB97">
      <w:pPr>
        <w:pStyle w:val="28"/>
        <w:tabs>
          <w:tab w:val="right" w:leader="dot" w:pos="8306"/>
        </w:tabs>
        <w:spacing w:line="360" w:lineRule="auto"/>
        <w:rPr>
          <w:rFonts w:ascii="黑体" w:hAnsi="黑体" w:eastAsia="黑体" w:cs="宋体"/>
          <w:bCs/>
          <w:sz w:val="24"/>
        </w:rPr>
      </w:pPr>
      <w:r>
        <w:fldChar w:fldCharType="begin"/>
      </w:r>
      <w:r>
        <w:instrText xml:space="preserve"> HYPERLINK \l "_Toc30510" </w:instrText>
      </w:r>
      <w:r>
        <w:fldChar w:fldCharType="separate"/>
      </w:r>
      <w:r>
        <w:rPr>
          <w:rFonts w:hint="eastAsia" w:ascii="黑体" w:hAnsi="黑体" w:eastAsia="黑体" w:cs="宋体"/>
          <w:bCs/>
          <w:sz w:val="24"/>
        </w:rPr>
        <w:t>2</w:t>
      </w:r>
      <w:r>
        <w:rPr>
          <w:rFonts w:ascii="黑体" w:hAnsi="黑体" w:eastAsia="黑体" w:cs="宋体"/>
          <w:bCs/>
          <w:sz w:val="24"/>
        </w:rPr>
        <w:t>.</w:t>
      </w:r>
      <w:r>
        <w:rPr>
          <w:rFonts w:hint="eastAsia" w:ascii="黑体" w:hAnsi="黑体" w:eastAsia="黑体" w:cs="宋体"/>
          <w:bCs/>
          <w:sz w:val="24"/>
        </w:rPr>
        <w:t>后续计量</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_Toc30510 </w:instrText>
      </w:r>
      <w:r>
        <w:rPr>
          <w:rFonts w:hint="eastAsia" w:ascii="黑体" w:hAnsi="黑体" w:eastAsia="黑体" w:cs="宋体"/>
          <w:bCs/>
          <w:sz w:val="24"/>
        </w:rPr>
        <w:fldChar w:fldCharType="separate"/>
      </w:r>
      <w:r>
        <w:rPr>
          <w:rFonts w:hint="eastAsia" w:ascii="黑体" w:hAnsi="黑体" w:eastAsia="黑体" w:cs="宋体"/>
          <w:bCs/>
          <w:sz w:val="24"/>
        </w:rPr>
        <w:t>7</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5BCED56C">
      <w:pPr>
        <w:pStyle w:val="28"/>
        <w:tabs>
          <w:tab w:val="right" w:leader="dot" w:pos="8306"/>
        </w:tabs>
        <w:spacing w:line="360" w:lineRule="auto"/>
        <w:rPr>
          <w:rFonts w:ascii="黑体" w:hAnsi="黑体" w:eastAsia="黑体" w:cs="宋体"/>
          <w:bCs/>
          <w:sz w:val="24"/>
        </w:rPr>
      </w:pPr>
      <w:r>
        <w:fldChar w:fldCharType="begin"/>
      </w:r>
      <w:r>
        <w:instrText xml:space="preserve"> HYPERLINK \l "_Toc23953" </w:instrText>
      </w:r>
      <w:r>
        <w:fldChar w:fldCharType="separate"/>
      </w:r>
      <w:r>
        <w:rPr>
          <w:rFonts w:hint="eastAsia" w:ascii="黑体" w:hAnsi="黑体" w:eastAsia="黑体" w:cs="宋体"/>
          <w:bCs/>
          <w:sz w:val="24"/>
        </w:rPr>
        <w:t>3</w:t>
      </w:r>
      <w:r>
        <w:rPr>
          <w:rFonts w:ascii="黑体" w:hAnsi="黑体" w:eastAsia="黑体" w:cs="宋体"/>
          <w:bCs/>
          <w:sz w:val="24"/>
        </w:rPr>
        <w:t>.</w:t>
      </w:r>
      <w:r>
        <w:rPr>
          <w:rFonts w:hint="eastAsia" w:ascii="黑体" w:hAnsi="黑体" w:eastAsia="黑体" w:cs="宋体"/>
          <w:bCs/>
          <w:sz w:val="24"/>
        </w:rPr>
        <w:t>分配的具体比例</w:t>
      </w:r>
      <w:r>
        <w:rPr>
          <w:rFonts w:hint="eastAsia" w:ascii="黑体" w:hAnsi="黑体" w:eastAsia="黑体" w:cs="宋体"/>
          <w:bCs/>
          <w:sz w:val="24"/>
        </w:rPr>
        <w:tab/>
      </w:r>
      <w:r>
        <w:rPr>
          <w:rFonts w:hint="eastAsia" w:ascii="黑体" w:hAnsi="黑体" w:eastAsia="黑体" w:cs="宋体"/>
          <w:bCs/>
          <w:sz w:val="24"/>
        </w:rPr>
        <w:t>8</w:t>
      </w:r>
      <w:r>
        <w:rPr>
          <w:rFonts w:hint="eastAsia" w:ascii="黑体" w:hAnsi="黑体" w:eastAsia="黑体" w:cs="宋体"/>
          <w:bCs/>
          <w:sz w:val="24"/>
        </w:rPr>
        <w:fldChar w:fldCharType="end"/>
      </w:r>
    </w:p>
    <w:p w14:paraId="28DE7AB6">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"_Toc36" </w:instrText>
      </w:r>
      <w:r>
        <w:fldChar w:fldCharType="separate"/>
      </w:r>
      <w:r>
        <w:rPr>
          <w:rFonts w:hint="eastAsia" w:ascii="黑体" w:hAnsi="黑体" w:eastAsia="黑体" w:cs="宋体"/>
          <w:bCs/>
          <w:sz w:val="24"/>
          <w:szCs w:val="24"/>
        </w:rPr>
        <w:t>（二）确认为金融资产时碳排放权的计量</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_Toc36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8</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7A164FDC">
      <w:pPr>
        <w:pStyle w:val="28"/>
        <w:tabs>
          <w:tab w:val="right" w:leader="dot" w:pos="8306"/>
        </w:tabs>
        <w:spacing w:line="360" w:lineRule="auto"/>
        <w:rPr>
          <w:rFonts w:ascii="黑体" w:hAnsi="黑体" w:eastAsia="黑体" w:cs="宋体"/>
          <w:bCs/>
          <w:sz w:val="24"/>
        </w:rPr>
      </w:pPr>
      <w:r>
        <w:fldChar w:fldCharType="begin"/>
      </w:r>
      <w:r>
        <w:instrText xml:space="preserve"> HYPERLINK \l "_Toc29929" </w:instrText>
      </w:r>
      <w:r>
        <w:fldChar w:fldCharType="separate"/>
      </w:r>
      <w:r>
        <w:rPr>
          <w:rFonts w:hint="eastAsia" w:ascii="黑体" w:hAnsi="黑体" w:eastAsia="黑体" w:cs="宋体"/>
          <w:bCs/>
          <w:sz w:val="24"/>
        </w:rPr>
        <w:t>1</w:t>
      </w:r>
      <w:r>
        <w:rPr>
          <w:rFonts w:ascii="黑体" w:hAnsi="黑体" w:eastAsia="黑体" w:cs="宋体"/>
          <w:bCs/>
          <w:sz w:val="24"/>
        </w:rPr>
        <w:t>.</w:t>
      </w:r>
      <w:r>
        <w:rPr>
          <w:rFonts w:hint="eastAsia" w:ascii="黑体" w:hAnsi="黑体" w:eastAsia="黑体" w:cs="宋体"/>
          <w:bCs/>
          <w:sz w:val="24"/>
        </w:rPr>
        <w:t>账户设置</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_Toc29929 </w:instrText>
      </w:r>
      <w:r>
        <w:rPr>
          <w:rFonts w:hint="eastAsia" w:ascii="黑体" w:hAnsi="黑体" w:eastAsia="黑体" w:cs="宋体"/>
          <w:bCs/>
          <w:sz w:val="24"/>
        </w:rPr>
        <w:fldChar w:fldCharType="separate"/>
      </w:r>
      <w:r>
        <w:rPr>
          <w:rFonts w:hint="eastAsia" w:ascii="黑体" w:hAnsi="黑体" w:eastAsia="黑体" w:cs="宋体"/>
          <w:bCs/>
          <w:sz w:val="24"/>
        </w:rPr>
        <w:t>8</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4502B085">
      <w:pPr>
        <w:pStyle w:val="28"/>
        <w:tabs>
          <w:tab w:val="right" w:leader="dot" w:pos="8306"/>
        </w:tabs>
        <w:spacing w:line="360" w:lineRule="auto"/>
        <w:rPr>
          <w:rFonts w:ascii="黑体" w:hAnsi="黑体" w:eastAsia="黑体" w:cs="宋体"/>
          <w:bCs/>
          <w:sz w:val="24"/>
        </w:rPr>
      </w:pPr>
      <w:r>
        <w:fldChar w:fldCharType="begin"/>
      </w:r>
      <w:r>
        <w:instrText xml:space="preserve"> HYPERLINK \l "_Toc10259" </w:instrText>
      </w:r>
      <w:r>
        <w:fldChar w:fldCharType="separate"/>
      </w:r>
      <w:r>
        <w:rPr>
          <w:rFonts w:hint="eastAsia" w:ascii="黑体" w:hAnsi="黑体" w:eastAsia="黑体" w:cs="宋体"/>
          <w:bCs/>
          <w:sz w:val="24"/>
        </w:rPr>
        <w:t>2</w:t>
      </w:r>
      <w:r>
        <w:rPr>
          <w:rFonts w:ascii="黑体" w:hAnsi="黑体" w:eastAsia="黑体" w:cs="宋体"/>
          <w:bCs/>
          <w:sz w:val="24"/>
        </w:rPr>
        <w:t>.</w:t>
      </w:r>
      <w:r>
        <w:rPr>
          <w:rFonts w:hint="eastAsia" w:ascii="黑体" w:hAnsi="黑体" w:eastAsia="黑体" w:cs="宋体"/>
          <w:bCs/>
          <w:sz w:val="24"/>
        </w:rPr>
        <w:t>初始计量</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_Toc10259 </w:instrText>
      </w:r>
      <w:r>
        <w:rPr>
          <w:rFonts w:hint="eastAsia" w:ascii="黑体" w:hAnsi="黑体" w:eastAsia="黑体" w:cs="宋体"/>
          <w:bCs/>
          <w:sz w:val="24"/>
        </w:rPr>
        <w:fldChar w:fldCharType="separate"/>
      </w:r>
      <w:r>
        <w:rPr>
          <w:rFonts w:hint="eastAsia" w:ascii="黑体" w:hAnsi="黑体" w:eastAsia="黑体" w:cs="宋体"/>
          <w:bCs/>
          <w:sz w:val="24"/>
        </w:rPr>
        <w:t>8</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133AB310">
      <w:pPr>
        <w:pStyle w:val="28"/>
        <w:tabs>
          <w:tab w:val="right" w:leader="dot" w:pos="8306"/>
        </w:tabs>
        <w:spacing w:line="360" w:lineRule="auto"/>
        <w:rPr>
          <w:rFonts w:ascii="黑体" w:hAnsi="黑体" w:eastAsia="黑体" w:cs="宋体"/>
          <w:bCs/>
          <w:sz w:val="24"/>
        </w:rPr>
      </w:pPr>
      <w:r>
        <w:fldChar w:fldCharType="begin"/>
      </w:r>
      <w:r>
        <w:instrText xml:space="preserve"> HYPERLINK \l "_Toc9562" </w:instrText>
      </w:r>
      <w:r>
        <w:fldChar w:fldCharType="separate"/>
      </w:r>
      <w:r>
        <w:rPr>
          <w:rFonts w:hint="eastAsia" w:ascii="黑体" w:hAnsi="黑体" w:eastAsia="黑体" w:cs="宋体"/>
          <w:bCs/>
          <w:sz w:val="24"/>
        </w:rPr>
        <w:t>3</w:t>
      </w:r>
      <w:r>
        <w:rPr>
          <w:rFonts w:ascii="黑体" w:hAnsi="黑体" w:eastAsia="黑体" w:cs="宋体"/>
          <w:bCs/>
          <w:sz w:val="24"/>
        </w:rPr>
        <w:t>.</w:t>
      </w:r>
      <w:r>
        <w:rPr>
          <w:rFonts w:hint="eastAsia" w:ascii="黑体" w:hAnsi="黑体" w:eastAsia="黑体" w:cs="宋体"/>
          <w:bCs/>
          <w:sz w:val="24"/>
        </w:rPr>
        <w:t>后续计量</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_Toc9562 </w:instrText>
      </w:r>
      <w:r>
        <w:rPr>
          <w:rFonts w:hint="eastAsia" w:ascii="黑体" w:hAnsi="黑体" w:eastAsia="黑体" w:cs="宋体"/>
          <w:bCs/>
          <w:sz w:val="24"/>
        </w:rPr>
        <w:fldChar w:fldCharType="separate"/>
      </w:r>
      <w:r>
        <w:rPr>
          <w:rFonts w:hint="eastAsia" w:ascii="黑体" w:hAnsi="黑体" w:eastAsia="黑体" w:cs="宋体"/>
          <w:bCs/>
          <w:sz w:val="24"/>
        </w:rPr>
        <w:t>8</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4DF430FF">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"_Toc18341" </w:instrText>
      </w:r>
      <w:r>
        <w:fldChar w:fldCharType="separate"/>
      </w:r>
      <w:r>
        <w:rPr>
          <w:rFonts w:hint="eastAsia" w:ascii="黑体" w:hAnsi="黑体" w:eastAsia="黑体" w:cs="宋体"/>
          <w:bCs/>
          <w:sz w:val="24"/>
          <w:szCs w:val="24"/>
        </w:rPr>
        <w:t>（三）具体操作举例</w:t>
      </w:r>
      <w:r>
        <w:rPr>
          <w:rFonts w:hint="eastAsia" w:ascii="黑体" w:hAnsi="黑体" w:eastAsia="黑体" w:cs="宋体"/>
          <w:bCs/>
          <w:sz w:val="24"/>
          <w:szCs w:val="24"/>
        </w:rPr>
        <w:tab/>
      </w:r>
      <w:r>
        <w:rPr>
          <w:rFonts w:hint="eastAsia" w:ascii="黑体" w:hAnsi="黑体" w:eastAsia="黑体" w:cs="宋体"/>
          <w:bCs/>
          <w:sz w:val="24"/>
          <w:szCs w:val="24"/>
        </w:rPr>
        <w:t>9</w:t>
      </w:r>
      <w:r>
        <w:rPr>
          <w:rFonts w:hint="eastAsia" w:ascii="黑体" w:hAnsi="黑体" w:eastAsia="黑体" w:cs="宋体"/>
          <w:bCs/>
          <w:sz w:val="24"/>
          <w:szCs w:val="24"/>
        </w:rPr>
        <w:fldChar w:fldCharType="end"/>
      </w:r>
    </w:p>
    <w:p w14:paraId="2C088BB7">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"_Toc14095" </w:instrText>
      </w:r>
      <w:r>
        <w:fldChar w:fldCharType="separate"/>
      </w:r>
      <w:r>
        <w:rPr>
          <w:rFonts w:hint="eastAsia" w:ascii="黑体" w:hAnsi="黑体" w:eastAsia="黑体" w:cs="宋体"/>
          <w:bCs/>
          <w:sz w:val="24"/>
          <w:szCs w:val="24"/>
        </w:rPr>
        <w:t>四、基于 CDM 项目的碳排放权会计信息的披露</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_Toc14095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10</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5EE4C697">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"_Toc14302" </w:instrText>
      </w:r>
      <w:r>
        <w:fldChar w:fldCharType="separate"/>
      </w:r>
      <w:r>
        <w:rPr>
          <w:rFonts w:hint="eastAsia" w:ascii="黑体" w:hAnsi="黑体" w:eastAsia="黑体" w:cs="宋体"/>
          <w:bCs/>
          <w:sz w:val="24"/>
          <w:szCs w:val="24"/>
        </w:rPr>
        <w:t>（一）碳排放权交易会计信息披露原则</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_Toc14302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10</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09A38A44">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"_Toc19705" </w:instrText>
      </w:r>
      <w:r>
        <w:fldChar w:fldCharType="separate"/>
      </w:r>
      <w:r>
        <w:rPr>
          <w:rFonts w:hint="eastAsia" w:ascii="黑体" w:hAnsi="黑体" w:eastAsia="黑体" w:cs="宋体"/>
          <w:bCs/>
          <w:sz w:val="24"/>
          <w:szCs w:val="24"/>
        </w:rPr>
        <w:t>（二）碳排放权交易信息的披露方式</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_Toc19705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11</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61FC0C65">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"_Toc14095" </w:instrText>
      </w:r>
      <w:r>
        <w:fldChar w:fldCharType="separate"/>
      </w:r>
      <w:r>
        <w:rPr>
          <w:rFonts w:hint="eastAsia" w:ascii="黑体" w:hAnsi="黑体" w:eastAsia="黑体" w:cs="宋体"/>
          <w:bCs/>
          <w:sz w:val="24"/>
          <w:szCs w:val="24"/>
        </w:rPr>
        <w:t>五、结论</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_Toc14095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12</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1D7479A7">
      <w:pPr>
        <w:pStyle w:val="28"/>
        <w:tabs>
          <w:tab w:val="right" w:leader="dot" w:pos="8306"/>
        </w:tabs>
        <w:spacing w:after="0" w:line="360" w:lineRule="auto"/>
        <w:rPr>
          <w:rFonts w:ascii="宋体" w:hAnsi="宋体" w:cs="宋体"/>
          <w:bCs/>
          <w:sz w:val="24"/>
          <w:szCs w:val="24"/>
        </w:rPr>
      </w:pPr>
      <w:r>
        <w:fldChar w:fldCharType="begin"/>
      </w:r>
      <w:r>
        <w:instrText xml:space="preserve"> HYPERLINK \l "_Toc26959" </w:instrText>
      </w:r>
      <w:r>
        <w:fldChar w:fldCharType="separate"/>
      </w:r>
      <w:r>
        <w:rPr>
          <w:rFonts w:hint="eastAsia" w:ascii="黑体" w:hAnsi="黑体" w:eastAsia="黑体" w:cs="宋体"/>
          <w:bCs/>
          <w:sz w:val="24"/>
          <w:szCs w:val="24"/>
        </w:rPr>
        <w:t>参考文献</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_Toc26959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12</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186BB1EB">
      <w:pPr>
        <w:snapToGrid w:val="0"/>
        <w:spacing w:line="360" w:lineRule="auto"/>
        <w:jc w:val="center"/>
        <w:outlineLvl w:val="0"/>
        <w:rPr>
          <w:rFonts w:ascii="宋体" w:hAnsi="宋体" w:cs="宋体"/>
          <w:bCs/>
          <w:kern w:val="0"/>
          <w:sz w:val="24"/>
        </w:rPr>
      </w:pPr>
      <w:r>
        <w:rPr>
          <w:rFonts w:hint="eastAsia" w:ascii="宋体" w:hAnsi="宋体" w:cs="宋体"/>
          <w:bCs/>
          <w:kern w:val="0"/>
          <w:sz w:val="24"/>
        </w:rPr>
        <w:fldChar w:fldCharType="end"/>
      </w:r>
      <w:bookmarkStart w:id="2" w:name="_Toc22090"/>
      <w:bookmarkStart w:id="3" w:name="_Toc12756"/>
      <w:bookmarkStart w:id="4" w:name="_Toc453"/>
      <w:bookmarkStart w:id="5" w:name="_Toc667"/>
      <w:bookmarkStart w:id="6" w:name="_Toc869"/>
      <w:bookmarkStart w:id="7" w:name="_Toc483351881"/>
    </w:p>
    <w:p w14:paraId="76954B53">
      <w:pPr>
        <w:snapToGrid w:val="0"/>
        <w:jc w:val="center"/>
        <w:outlineLvl w:val="0"/>
        <w:rPr>
          <w:rFonts w:ascii="黑体" w:hAnsi="黑体" w:eastAsia="黑体" w:cs="黑体"/>
          <w:b/>
          <w:bCs/>
          <w:sz w:val="36"/>
          <w:szCs w:val="36"/>
        </w:rPr>
      </w:pPr>
      <w:commentRangeStart w:id="1"/>
      <w:r>
        <w:rPr>
          <w:rFonts w:hint="eastAsia" w:ascii="黑体" w:hAnsi="黑体" w:eastAsia="黑体" w:cs="黑体"/>
          <w:b/>
          <w:bCs/>
          <w:sz w:val="36"/>
          <w:szCs w:val="36"/>
        </w:rPr>
        <w:t>摘 要</w:t>
      </w:r>
      <w:bookmarkEnd w:id="2"/>
      <w:bookmarkEnd w:id="3"/>
      <w:bookmarkEnd w:id="4"/>
      <w:bookmarkEnd w:id="5"/>
      <w:bookmarkEnd w:id="6"/>
      <w:bookmarkEnd w:id="7"/>
      <w:commentRangeEnd w:id="1"/>
      <w:r>
        <w:rPr>
          <w:rStyle w:val="16"/>
        </w:rPr>
        <w:commentReference w:id="1"/>
      </w:r>
    </w:p>
    <w:p w14:paraId="5877AFE1">
      <w:pPr>
        <w:snapToGrid w:val="0"/>
        <w:jc w:val="center"/>
        <w:outlineLvl w:val="0"/>
        <w:rPr>
          <w:rFonts w:ascii="黑体" w:hAnsi="黑体" w:eastAsia="黑体" w:cs="黑体"/>
          <w:b/>
          <w:bCs/>
          <w:sz w:val="36"/>
          <w:szCs w:val="36"/>
        </w:rPr>
      </w:pPr>
    </w:p>
    <w:p w14:paraId="02A326FB">
      <w:pPr>
        <w:ind w:firstLine="560" w:firstLineChars="200"/>
        <w:outlineLvl w:val="0"/>
        <w:rPr>
          <w:rFonts w:ascii="宋体" w:hAnsi="宋体" w:cs="宋体"/>
          <w:sz w:val="28"/>
          <w:szCs w:val="28"/>
        </w:rPr>
      </w:pPr>
      <w:bookmarkStart w:id="8" w:name="_Toc30526"/>
      <w:bookmarkStart w:id="9" w:name="_Toc31295"/>
      <w:r>
        <w:rPr>
          <w:rFonts w:hint="eastAsia" w:ascii="宋体" w:hAnsi="宋体" w:cs="宋体"/>
          <w:sz w:val="28"/>
          <w:szCs w:val="28"/>
        </w:rPr>
        <w:t>近年来，我国不断通过清洁发展机制（CDM）参与到碳排放权市场交易活动中。在这个过程中，我国的实体经济企业已经替碳市场创造大量的碳减排额，并从中取得了额外的收入。但中国现行的会计准则体系并没有对有关碳排放权交易的确认以及计量等会计处理及信息披露作出详细的说明。文章初步探讨了基于CDM项目的碳排放权的相关会计处理问题。文章首先对CDM项目的原始碳排放进行概述，其次对基于CDM项目的碳排放权的性质进行剖析，说明了会计要素的确认，并在此基础上阐述了碳排放权的初始计量和后续计量，最后还分析了碳排放权会计信息披露的相关问题。</w:t>
      </w:r>
      <w:bookmarkEnd w:id="8"/>
      <w:bookmarkEnd w:id="9"/>
    </w:p>
    <w:p w14:paraId="481B0F4D">
      <w:pPr>
        <w:ind w:firstLine="560" w:firstLineChars="200"/>
        <w:outlineLvl w:val="0"/>
        <w:rPr>
          <w:rFonts w:ascii="宋体" w:hAnsi="宋体" w:cs="宋体"/>
          <w:sz w:val="28"/>
          <w:szCs w:val="28"/>
        </w:rPr>
      </w:pPr>
    </w:p>
    <w:p w14:paraId="5126C594">
      <w:pPr>
        <w:ind w:firstLine="560" w:firstLineChars="200"/>
        <w:rPr>
          <w:sz w:val="24"/>
        </w:rPr>
        <w:sectPr>
          <w:footerReference r:id="rId6" w:type="default"/>
          <w:footnotePr>
            <w:numFmt w:val="decimalEnclosedCircleChinese"/>
          </w:footnotePr>
          <w:pgSz w:w="11906" w:h="16838"/>
          <w:pgMar w:top="1440" w:right="1800" w:bottom="1440" w:left="1800" w:header="851" w:footer="992" w:gutter="0"/>
          <w:pgNumType w:start="1"/>
          <w:cols w:space="720" w:num="1"/>
          <w:docGrid w:type="lines" w:linePitch="312" w:charSpace="0"/>
        </w:sectPr>
      </w:pPr>
      <w:commentRangeStart w:id="2"/>
      <w:r>
        <w:rPr>
          <w:rFonts w:hint="eastAsia" w:ascii="黑体" w:hAnsi="黑体" w:eastAsia="黑体" w:cs="黑体"/>
          <w:sz w:val="28"/>
          <w:szCs w:val="28"/>
        </w:rPr>
        <w:t>关键词：</w:t>
      </w:r>
      <w:r>
        <w:rPr>
          <w:rFonts w:ascii="宋体" w:hAnsi="宋体"/>
          <w:sz w:val="28"/>
          <w:szCs w:val="28"/>
        </w:rPr>
        <w:t>碳排放权；碳会计；CDM 项目</w:t>
      </w:r>
      <w:r>
        <w:rPr>
          <w:rFonts w:hint="eastAsia" w:ascii="宋体" w:hAnsi="宋体"/>
          <w:sz w:val="28"/>
          <w:szCs w:val="28"/>
        </w:rPr>
        <w:t>；</w:t>
      </w:r>
      <w:r>
        <w:rPr>
          <w:rFonts w:ascii="宋体" w:hAnsi="宋体"/>
          <w:sz w:val="28"/>
          <w:szCs w:val="28"/>
        </w:rPr>
        <w:t>会计处理</w:t>
      </w:r>
      <w:commentRangeEnd w:id="2"/>
      <w:r>
        <w:rPr>
          <w:rStyle w:val="16"/>
        </w:rPr>
        <w:commentReference w:id="2"/>
      </w:r>
    </w:p>
    <w:p w14:paraId="5776AFFB">
      <w:pPr>
        <w:spacing w:line="360" w:lineRule="auto"/>
        <w:ind w:firstLine="480" w:firstLineChars="200"/>
        <w:rPr>
          <w:rFonts w:ascii="宋体" w:hAnsi="宋体" w:cs="宋体"/>
          <w:sz w:val="24"/>
        </w:rPr>
      </w:pPr>
      <w:r>
        <w:rPr>
          <w:rFonts w:hint="eastAsia" w:ascii="宋体" w:hAnsi="宋体" w:cs="宋体"/>
          <w:sz w:val="24"/>
        </w:rPr>
        <w:t>为了能减轻全球气候变暖的情况，1997年84国在日本京都签署了《京都议定书》（KP），条约对发达国家的温室气体减排量化方针有明文规定。KP 规定了三种温室气体减排的国际合作机制，清洁发展机制（CDM）、联合履行机制（JI）和国际排放贸易（IET）。清洁发展机制创设了发展中国家和发达国家之间的碳减排交易市场，联合履行机制和国际排放贸易创设了发达国家之间的碳减排交易市场，以上灵活的温室气体减排机制成立了使得国际碳交易市场得到迅速发展。CDM 的主要内容是，需要有强制减排要求的发达国家提供先进技术设备和资金，在发展中国家境内联合实行可以延缓气候变暖的减排项目，因此取得“核准减排量”（CER），达成其在 KP 中所作出的减排承诺。</w:t>
      </w:r>
    </w:p>
    <w:p w14:paraId="7F4A1BA1">
      <w:pPr>
        <w:spacing w:line="360" w:lineRule="auto"/>
        <w:ind w:firstLine="480" w:firstLineChars="200"/>
        <w:rPr>
          <w:rFonts w:ascii="宋体" w:hAnsi="宋体" w:cs="宋体"/>
          <w:sz w:val="24"/>
        </w:rPr>
      </w:pPr>
      <w:r>
        <w:rPr>
          <w:rFonts w:hint="eastAsia" w:ascii="宋体" w:hAnsi="宋体" w:cs="宋体"/>
          <w:sz w:val="24"/>
        </w:rPr>
        <w:t>碳减排义务针对的是发达国家，而作为发展中国家的一员，中国不具有强制减排义务，因此碳排放权其实是中国的企业与发达国家之间的合作。通过 CDM 项目产生的 CERs 与有需按照具有强制减排义务企业的碳排放权在本质上有所不同，因此我国通常称“碳排放权”为“碳减排量”。</w:t>
      </w:r>
      <w:commentRangeStart w:id="3"/>
      <w:r>
        <w:rPr>
          <w:rFonts w:hint="eastAsia" w:ascii="宋体" w:hAnsi="宋体" w:cs="宋体"/>
          <w:sz w:val="24"/>
        </w:rPr>
        <w:t>截至 2012 年10 月17日，全球共注册 CDM 项目 4 777个，其中中国注册 2 431个，中国获签发CERs 吨数占东道国 CDM 项目签发总量的 59.91%。</w:t>
      </w:r>
      <w:commentRangeEnd w:id="3"/>
      <w:r>
        <w:rPr>
          <w:rStyle w:val="16"/>
        </w:rPr>
        <w:commentReference w:id="3"/>
      </w:r>
      <w:r>
        <w:rPr>
          <w:rStyle w:val="17"/>
          <w:rFonts w:ascii="宋体" w:hAnsi="宋体" w:cs="宋体"/>
          <w:sz w:val="24"/>
        </w:rPr>
        <w:footnoteReference w:id="0"/>
      </w:r>
      <w:r>
        <w:rPr>
          <w:rFonts w:hint="eastAsia" w:ascii="宋体" w:hAnsi="宋体" w:cs="宋体"/>
          <w:sz w:val="24"/>
        </w:rPr>
        <w:t>同年，多哈气候变化会议确定了发达国家需继续承担强制减排义务为期8年的 KP 第二承诺期（2013—2020 年），同时也意味着中国在 2020 年之前不需要进行强制减排，通过 CDM 项目产生的CERs 仍是中国目前国内碳减排量的主要交易产品，所以对中国 CDM 项目下碳减排量会计处理的了解和分析具有积极的现实操作意义。</w:t>
      </w:r>
      <w:bookmarkStart w:id="10" w:name="_Toc8554"/>
      <w:bookmarkStart w:id="11" w:name="_Toc483351882"/>
      <w:bookmarkStart w:id="12" w:name="_Toc13281"/>
    </w:p>
    <w:p w14:paraId="5912DB75">
      <w:pPr>
        <w:spacing w:before="480" w:after="480"/>
        <w:outlineLvl w:val="0"/>
        <w:rPr>
          <w:rFonts w:ascii="黑体" w:hAnsi="黑体" w:eastAsia="黑体"/>
          <w:b/>
          <w:bCs/>
          <w:sz w:val="36"/>
          <w:szCs w:val="36"/>
        </w:rPr>
      </w:pPr>
      <w:commentRangeStart w:id="4"/>
      <w:bookmarkStart w:id="13" w:name="_Toc23748"/>
      <w:r>
        <w:rPr>
          <w:rFonts w:ascii="黑体" w:hAnsi="黑体" w:eastAsia="黑体"/>
          <w:b/>
          <w:bCs/>
          <w:sz w:val="36"/>
          <w:szCs w:val="36"/>
        </w:rPr>
        <w:t>一、基于 CDM 项目的原始碳排放权概述</w:t>
      </w:r>
      <w:commentRangeEnd w:id="4"/>
      <w:bookmarkEnd w:id="10"/>
      <w:bookmarkEnd w:id="11"/>
      <w:bookmarkEnd w:id="12"/>
      <w:bookmarkEnd w:id="13"/>
      <w:r>
        <w:rPr>
          <w:rStyle w:val="16"/>
        </w:rPr>
        <w:commentReference w:id="4"/>
      </w:r>
    </w:p>
    <w:p w14:paraId="437A0DF7">
      <w:pPr>
        <w:spacing w:before="360" w:after="360"/>
        <w:outlineLvl w:val="1"/>
        <w:rPr>
          <w:rFonts w:ascii="黑体" w:hAnsi="黑体" w:eastAsia="黑体"/>
          <w:b/>
          <w:sz w:val="30"/>
          <w:szCs w:val="30"/>
        </w:rPr>
      </w:pPr>
      <w:bookmarkStart w:id="14" w:name="_Toc28263"/>
      <w:bookmarkStart w:id="15" w:name="_Toc13046"/>
      <w:bookmarkStart w:id="16" w:name="_Toc483351883"/>
      <w:bookmarkStart w:id="17" w:name="_Toc14418"/>
      <w:commentRangeStart w:id="5"/>
      <w:r>
        <w:rPr>
          <w:rFonts w:ascii="黑体" w:hAnsi="黑体" w:eastAsia="黑体"/>
          <w:b/>
          <w:sz w:val="30"/>
          <w:szCs w:val="30"/>
        </w:rPr>
        <w:t>（一）碳排放权交易</w:t>
      </w:r>
      <w:commentRangeEnd w:id="5"/>
      <w:bookmarkEnd w:id="14"/>
      <w:bookmarkEnd w:id="15"/>
      <w:bookmarkEnd w:id="16"/>
      <w:bookmarkEnd w:id="17"/>
      <w:r>
        <w:rPr>
          <w:rStyle w:val="16"/>
        </w:rPr>
        <w:commentReference w:id="5"/>
      </w:r>
    </w:p>
    <w:p w14:paraId="3C769D3D">
      <w:pPr>
        <w:spacing w:line="360" w:lineRule="auto"/>
        <w:ind w:firstLine="480" w:firstLineChars="200"/>
        <w:rPr>
          <w:rFonts w:ascii="宋体" w:hAnsi="宋体" w:cs="宋体"/>
          <w:sz w:val="24"/>
        </w:rPr>
      </w:pPr>
      <w:bookmarkStart w:id="18" w:name="_Toc483351884"/>
      <w:bookmarkStart w:id="19" w:name="_Toc29223"/>
      <w:bookmarkStart w:id="20" w:name="_Toc21529"/>
      <w:commentRangeStart w:id="6"/>
      <w:r>
        <w:rPr>
          <w:rFonts w:hint="eastAsia" w:ascii="宋体" w:hAnsi="宋体" w:cs="宋体"/>
          <w:sz w:val="24"/>
        </w:rPr>
        <w:t>在发达国家企业的眼中，碳排放权是作为一种可交易的商品存在的。就拿美国的花旗银行作为例子，其在碳排放权市场交易中就是习惯将碳排放权作为商品与其它企业进行交易。在这些减排单位进行交易的碳排放权交易市场其实就是一</w:t>
      </w:r>
      <w:commentRangeEnd w:id="6"/>
      <w:r>
        <w:rPr>
          <w:rStyle w:val="16"/>
        </w:rPr>
        <w:commentReference w:id="6"/>
      </w:r>
      <w:r>
        <w:rPr>
          <w:rFonts w:hint="eastAsia" w:ascii="宋体" w:hAnsi="宋体" w:cs="宋体"/>
          <w:sz w:val="24"/>
        </w:rPr>
        <w:t>种与现实的商品交易市场很类似的交易市场，原因是数额巨大的碳排放权能在这种市场中自由地交易流通，同时持有者所拥有的碳排放权往往是以出售作为目的，因此对市场供求关系的价格造成严重影响。</w:t>
      </w:r>
    </w:p>
    <w:p w14:paraId="2D7B0534">
      <w:pPr>
        <w:spacing w:line="360" w:lineRule="auto"/>
        <w:ind w:firstLine="480" w:firstLineChars="200"/>
        <w:rPr>
          <w:rFonts w:ascii="宋体" w:hAnsi="宋体" w:cs="宋体"/>
          <w:sz w:val="24"/>
        </w:rPr>
      </w:pPr>
      <w:r>
        <w:rPr>
          <w:rFonts w:hint="eastAsia" w:ascii="宋体" w:hAnsi="宋体" w:cs="宋体"/>
          <w:sz w:val="24"/>
        </w:rPr>
        <w:t>对于现实中存在的商品交易市场，能同时存在于该市场的商品必然具有相同的属性。可是在不同的碳排放权交易市场中，其所采用的交易制度不尽相同的，这种制度上的不同导致其核算标准等都发生了不同，进而使得碳排放权呈现出不同的属性。作为一种权利，碳排放权从其本质属性上而言理应相同，应当在统一市场上进行流通。但在现实的实践中，我们是将这些碳排放权划分到不同的碳排放权交易市场上进行流通，而且一旦划分完毕，该碳排放权只能存在于与之相对应的市场上，在该市场所特有的交易制度下进行流通。于是乎这种情况造成了交易市场的闭塞，无法真正将全球的碳排放权交易市场串联起来，从而无法形成全球统一的碳排放权交易市场，这一切将使得碳排放权无法作为商品真正地在全球范围内进行交易。由此可见，将碳排放权当作商品进行交易流通的这种观点在一定程度上仍存在着缺陷。</w:t>
      </w:r>
    </w:p>
    <w:p w14:paraId="63835FC6">
      <w:pPr>
        <w:spacing w:line="360" w:lineRule="auto"/>
        <w:ind w:firstLine="480" w:firstLineChars="200"/>
        <w:outlineLvl w:val="1"/>
        <w:rPr>
          <w:rFonts w:ascii="宋体" w:hAnsi="宋体" w:cs="宋体"/>
          <w:sz w:val="24"/>
        </w:rPr>
      </w:pPr>
      <w:bookmarkStart w:id="21" w:name="_Toc5303"/>
      <w:bookmarkStart w:id="22" w:name="_Toc15874"/>
      <w:r>
        <w:rPr>
          <w:rFonts w:hint="eastAsia" w:ascii="宋体" w:hAnsi="宋体" w:cs="宋体"/>
          <w:sz w:val="24"/>
        </w:rPr>
        <w:t>在流通过程中，碳排放权已经具有了货币属性，因为我们在将碳排放权作为商品进行交易时，已经是利用货币金额来计量碳排放权的流通的。碳排放权的货币属性集中表现在：1、碳排放权可以充当其交易的一般等价物在不同的交易市场上流通；2、碳排放权可以像货币一样存借；3、由于碳排放总量的有限性，导致了碳排放权也呈现出一种稀缺性，从其价格上就得以彰显；4、人们逐渐接受碳排放权，这是由于伴随着温室气体减排压力的增大，碳排放权日益受到人们重视。在一定程度上，碳排放权的商品属性所存在的缺陷在其货币属性的帮扶下得以弥补。这种货币属性打破了僵局，将不同的碳排放权交易市场串联了起来，使得碳排放权在这些交易市场中得以交易流通，最终有利于建设全球统一的碳排放权交易市场。可是从目前发展现状而言，这个目标仍旧很难实现，原因在于碳排放权虽然具有货币属性，但仍无法发挥货币的某些特性，特别是无法像货币一样自由的存借。</w:t>
      </w:r>
      <w:bookmarkEnd w:id="21"/>
      <w:bookmarkEnd w:id="22"/>
    </w:p>
    <w:p w14:paraId="41FE1E80">
      <w:pPr>
        <w:spacing w:before="360" w:after="360"/>
        <w:ind w:firstLine="602" w:firstLineChars="200"/>
        <w:outlineLvl w:val="1"/>
        <w:rPr>
          <w:rFonts w:ascii="黑体" w:hAnsi="黑体" w:eastAsia="黑体"/>
          <w:b/>
          <w:sz w:val="30"/>
          <w:szCs w:val="30"/>
        </w:rPr>
      </w:pPr>
    </w:p>
    <w:bookmarkEnd w:id="18"/>
    <w:bookmarkEnd w:id="19"/>
    <w:bookmarkEnd w:id="20"/>
    <w:p w14:paraId="4CE4D9BC">
      <w:pPr>
        <w:spacing w:before="360" w:after="360"/>
        <w:outlineLvl w:val="1"/>
        <w:rPr>
          <w:rFonts w:ascii="黑体" w:hAnsi="黑体" w:eastAsia="黑体"/>
          <w:b/>
          <w:sz w:val="30"/>
          <w:szCs w:val="30"/>
        </w:rPr>
      </w:pPr>
      <w:bookmarkStart w:id="23" w:name="_Toc16084"/>
      <w:r>
        <w:rPr>
          <w:rFonts w:ascii="黑体" w:hAnsi="黑体" w:eastAsia="黑体"/>
          <w:b/>
          <w:sz w:val="30"/>
          <w:szCs w:val="30"/>
        </w:rPr>
        <w:t>（二）CDM 项目</w:t>
      </w:r>
      <w:bookmarkEnd w:id="23"/>
    </w:p>
    <w:p w14:paraId="0281D4D9">
      <w:pPr>
        <w:spacing w:line="360" w:lineRule="auto"/>
        <w:ind w:firstLine="480" w:firstLineChars="200"/>
        <w:rPr>
          <w:rFonts w:ascii="宋体" w:hAnsi="宋体" w:cs="宋体"/>
          <w:sz w:val="24"/>
        </w:rPr>
      </w:pPr>
      <w:r>
        <w:rPr>
          <w:rFonts w:hint="eastAsia" w:ascii="宋体" w:hAnsi="宋体" w:cs="宋体"/>
          <w:sz w:val="24"/>
        </w:rPr>
        <w:t xml:space="preserve">  CDM（Clean Development Mechanism）即清洁发展机制，是《京都议定书》中所设定的温室气体减排机制中的一种，主要适用于发展中国家和发达国家合作减排。CDM的核心内容是，发达国家提供先进技术设备和资金，在发展中国家境内共同联合实施能够缓解气候变暖的减排项目，从而获得核证的减排量，来协助发达国家完成减排义务。中国作为最大的发展中国家，虽暂不承担减排义务，但为建设资源节约型社会，我国仍积极参与节能减排行动，自从CDM 项目提出后，我国成为发达国家的核证减排量的最大供应国。截至2014 年10 月 23 日，国家发改委共审批了通过了 5059项 CDM 项目，项目类型涉及新能源和可再生能源、节能和提高能效、甲烷回收利用节能和提高能效等，到 2014 年 11 月 15 日为止，已有 1418 个 CDM 项目取得核证减排量（CERs）的签发。</w:t>
      </w:r>
      <w:r>
        <w:rPr>
          <w:rStyle w:val="17"/>
          <w:rFonts w:ascii="宋体" w:hAnsi="宋体" w:cs="宋体"/>
          <w:sz w:val="24"/>
        </w:rPr>
        <w:footnoteReference w:id="1"/>
      </w:r>
      <w:r>
        <w:rPr>
          <w:rFonts w:hint="eastAsia" w:ascii="宋体" w:hAnsi="宋体" w:cs="宋体"/>
          <w:sz w:val="24"/>
        </w:rPr>
        <w:t>在2011 年 8 月 3 日，国家发改委修订了《CDM 机制项目运行管理办法》，2005 年 10 月 12 日施行的管理办法同时废止其目的都是为了加强 CDM 项目的有效管理,保证其有序进行。</w:t>
      </w:r>
      <w:bookmarkStart w:id="24" w:name="_Toc483351885"/>
      <w:bookmarkStart w:id="25" w:name="_Toc1374"/>
      <w:bookmarkStart w:id="26" w:name="_Toc19278"/>
    </w:p>
    <w:p w14:paraId="49CF2A40">
      <w:pPr>
        <w:spacing w:before="480" w:after="480"/>
        <w:outlineLvl w:val="0"/>
        <w:rPr>
          <w:rFonts w:ascii="黑体" w:hAnsi="黑体" w:eastAsia="黑体"/>
          <w:b/>
          <w:bCs/>
          <w:sz w:val="36"/>
          <w:szCs w:val="36"/>
        </w:rPr>
      </w:pPr>
      <w:bookmarkStart w:id="27" w:name="_Toc13801"/>
      <w:r>
        <w:rPr>
          <w:rFonts w:ascii="黑体" w:hAnsi="黑体" w:eastAsia="黑体"/>
          <w:b/>
          <w:bCs/>
          <w:sz w:val="36"/>
          <w:szCs w:val="36"/>
        </w:rPr>
        <w:t>二、基于 CDM 项目的碳排放权的</w:t>
      </w:r>
      <w:r>
        <w:rPr>
          <w:rFonts w:hint="eastAsia" w:ascii="黑体" w:hAnsi="黑体" w:eastAsia="黑体"/>
          <w:b/>
          <w:bCs/>
          <w:sz w:val="36"/>
          <w:szCs w:val="36"/>
        </w:rPr>
        <w:t>特征及其会计理论</w:t>
      </w:r>
      <w:r>
        <w:rPr>
          <w:rFonts w:ascii="黑体" w:hAnsi="黑体" w:eastAsia="黑体"/>
          <w:b/>
          <w:bCs/>
          <w:sz w:val="36"/>
          <w:szCs w:val="36"/>
        </w:rPr>
        <w:t>确认</w:t>
      </w:r>
      <w:bookmarkEnd w:id="24"/>
      <w:bookmarkEnd w:id="25"/>
      <w:bookmarkEnd w:id="26"/>
      <w:bookmarkEnd w:id="27"/>
    </w:p>
    <w:p w14:paraId="2B94B38B">
      <w:pPr>
        <w:spacing w:before="360" w:after="360"/>
        <w:outlineLvl w:val="1"/>
        <w:rPr>
          <w:rFonts w:ascii="黑体" w:hAnsi="黑体" w:eastAsia="黑体"/>
          <w:b/>
          <w:sz w:val="30"/>
          <w:szCs w:val="30"/>
        </w:rPr>
      </w:pPr>
      <w:bookmarkStart w:id="28" w:name="_Toc483351886"/>
      <w:bookmarkStart w:id="29" w:name="_Toc1798"/>
      <w:bookmarkStart w:id="30" w:name="_Toc5757"/>
      <w:bookmarkStart w:id="31" w:name="_Toc517"/>
      <w:r>
        <w:rPr>
          <w:rFonts w:hint="eastAsia" w:ascii="黑体" w:hAnsi="黑体" w:eastAsia="黑体"/>
          <w:b/>
          <w:sz w:val="30"/>
          <w:szCs w:val="30"/>
        </w:rPr>
        <w:t>（一）基于 CDM 的碳排放权应当确认为资产</w:t>
      </w:r>
      <w:bookmarkEnd w:id="28"/>
      <w:bookmarkEnd w:id="29"/>
      <w:bookmarkEnd w:id="30"/>
      <w:bookmarkEnd w:id="31"/>
    </w:p>
    <w:p w14:paraId="02B8A142">
      <w:pPr>
        <w:spacing w:line="360" w:lineRule="auto"/>
        <w:ind w:firstLine="480" w:firstLineChars="200"/>
        <w:rPr>
          <w:rFonts w:ascii="宋体" w:hAnsi="宋体" w:cs="宋体"/>
          <w:sz w:val="24"/>
        </w:rPr>
      </w:pPr>
      <w:r>
        <w:rPr>
          <w:rFonts w:hint="eastAsia" w:ascii="宋体" w:hAnsi="宋体" w:cs="宋体"/>
          <w:sz w:val="24"/>
        </w:rPr>
        <w:t>通过对于我国 CDM 项目下碳排放权的特征分析应当将其确认为一项资产：</w:t>
      </w:r>
    </w:p>
    <w:p w14:paraId="000F1894">
      <w:pPr>
        <w:spacing w:before="240" w:after="240"/>
        <w:outlineLvl w:val="2"/>
        <w:rPr>
          <w:rFonts w:ascii="黑体" w:hAnsi="黑体" w:eastAsia="黑体" w:cs="黑体"/>
          <w:sz w:val="24"/>
        </w:rPr>
      </w:pPr>
      <w:bookmarkStart w:id="32" w:name="_Toc19448"/>
      <w:commentRangeStart w:id="7"/>
      <w:r>
        <w:rPr>
          <w:rFonts w:hint="eastAsia" w:ascii="黑体" w:hAnsi="黑体" w:eastAsia="黑体" w:cs="黑体"/>
          <w:b/>
          <w:bCs/>
          <w:sz w:val="24"/>
        </w:rPr>
        <w:t>1</w:t>
      </w:r>
      <w:r>
        <w:rPr>
          <w:rFonts w:ascii="黑体" w:hAnsi="黑体" w:eastAsia="黑体" w:cs="黑体"/>
          <w:b/>
          <w:bCs/>
          <w:sz w:val="24"/>
        </w:rPr>
        <w:t>.</w:t>
      </w:r>
      <w:r>
        <w:rPr>
          <w:rFonts w:hint="eastAsia" w:ascii="黑体" w:hAnsi="黑体" w:eastAsia="黑体" w:cs="黑体"/>
          <w:b/>
          <w:bCs/>
          <w:sz w:val="24"/>
        </w:rPr>
        <w:t>由过去的交易或者事项形成的</w:t>
      </w:r>
      <w:bookmarkEnd w:id="32"/>
      <w:commentRangeEnd w:id="7"/>
      <w:r>
        <w:rPr>
          <w:rStyle w:val="16"/>
        </w:rPr>
        <w:commentReference w:id="7"/>
      </w:r>
    </w:p>
    <w:p w14:paraId="5E2E90B3">
      <w:pPr>
        <w:spacing w:line="360" w:lineRule="auto"/>
        <w:ind w:firstLine="480" w:firstLineChars="200"/>
        <w:rPr>
          <w:rFonts w:ascii="宋体" w:hAnsi="宋体" w:cs="宋体"/>
          <w:sz w:val="24"/>
        </w:rPr>
      </w:pPr>
      <w:r>
        <w:rPr>
          <w:rFonts w:hint="eastAsia" w:ascii="宋体" w:hAnsi="宋体" w:cs="宋体"/>
          <w:sz w:val="24"/>
        </w:rPr>
        <w:t>我国的碳排放权都是基于 CDM 项目所产生的，其缔造的碳排放权是由过去交易或者事项形成的。</w:t>
      </w:r>
    </w:p>
    <w:p w14:paraId="3B7216F0">
      <w:pPr>
        <w:spacing w:before="240" w:after="240"/>
        <w:outlineLvl w:val="2"/>
        <w:rPr>
          <w:rFonts w:ascii="黑体" w:hAnsi="黑体" w:eastAsia="黑体" w:cs="黑体"/>
          <w:sz w:val="24"/>
        </w:rPr>
      </w:pPr>
      <w:bookmarkStart w:id="33" w:name="_Toc27597"/>
      <w:r>
        <w:rPr>
          <w:rFonts w:hint="eastAsia" w:ascii="黑体" w:hAnsi="黑体" w:eastAsia="黑体" w:cs="黑体"/>
          <w:b/>
          <w:bCs/>
          <w:sz w:val="24"/>
        </w:rPr>
        <w:t>2</w:t>
      </w:r>
      <w:r>
        <w:rPr>
          <w:rFonts w:ascii="黑体" w:hAnsi="黑体" w:eastAsia="黑体" w:cs="黑体"/>
          <w:b/>
          <w:bCs/>
          <w:sz w:val="24"/>
        </w:rPr>
        <w:t>.</w:t>
      </w:r>
      <w:r>
        <w:rPr>
          <w:rFonts w:hint="eastAsia" w:ascii="黑体" w:hAnsi="黑体" w:eastAsia="黑体" w:cs="黑体"/>
          <w:b/>
          <w:bCs/>
          <w:sz w:val="24"/>
        </w:rPr>
        <w:t>由企业控制和拥有的资源</w:t>
      </w:r>
      <w:bookmarkEnd w:id="33"/>
    </w:p>
    <w:p w14:paraId="22E6BE05">
      <w:pPr>
        <w:spacing w:line="360" w:lineRule="auto"/>
        <w:ind w:firstLine="480" w:firstLineChars="200"/>
        <w:rPr>
          <w:rFonts w:ascii="宋体" w:hAnsi="宋体" w:cs="宋体"/>
          <w:sz w:val="24"/>
        </w:rPr>
      </w:pPr>
      <w:r>
        <w:rPr>
          <w:rFonts w:hint="eastAsia" w:ascii="宋体" w:hAnsi="宋体" w:cs="宋体"/>
          <w:sz w:val="24"/>
        </w:rPr>
        <w:t>根据我国 2005 年颁发的 《清洁发展机制项目运行管理办法》的规定，其实质是我国的企业替政府出售碳排放权，因此碳排放权的所有权是属于政府，是国有资产。 碳排放权是有企业控制的，因为企业可以在国家监管下自行支配由碳减排量，也可以进行出售或留存，授权额度下企业都有可以出售，出售的价格和数量有很大的自主空间。</w:t>
      </w:r>
    </w:p>
    <w:p w14:paraId="09148E93">
      <w:pPr>
        <w:spacing w:before="240" w:after="240"/>
        <w:outlineLvl w:val="2"/>
        <w:rPr>
          <w:rFonts w:ascii="黑体" w:hAnsi="黑体" w:eastAsia="黑体" w:cs="黑体"/>
          <w:b/>
          <w:bCs/>
          <w:sz w:val="24"/>
        </w:rPr>
      </w:pPr>
      <w:bookmarkStart w:id="34" w:name="_Toc14764"/>
      <w:r>
        <w:rPr>
          <w:rFonts w:hint="eastAsia" w:ascii="黑体" w:hAnsi="黑体" w:eastAsia="黑体" w:cs="黑体"/>
          <w:b/>
          <w:bCs/>
          <w:sz w:val="24"/>
        </w:rPr>
        <w:t>3</w:t>
      </w:r>
      <w:r>
        <w:rPr>
          <w:rFonts w:ascii="黑体" w:hAnsi="黑体" w:eastAsia="黑体" w:cs="黑体"/>
          <w:b/>
          <w:bCs/>
          <w:sz w:val="24"/>
        </w:rPr>
        <w:t>.</w:t>
      </w:r>
      <w:r>
        <w:rPr>
          <w:rFonts w:hint="eastAsia" w:ascii="黑体" w:hAnsi="黑体" w:eastAsia="黑体" w:cs="黑体"/>
          <w:b/>
          <w:bCs/>
          <w:sz w:val="24"/>
        </w:rPr>
        <w:t>可以为企业带来经济利益的流入</w:t>
      </w:r>
      <w:bookmarkEnd w:id="34"/>
    </w:p>
    <w:p w14:paraId="74AE5F30">
      <w:pPr>
        <w:spacing w:line="360" w:lineRule="auto"/>
        <w:ind w:firstLine="480" w:firstLineChars="200"/>
        <w:rPr>
          <w:rFonts w:ascii="宋体" w:hAnsi="宋体" w:cs="宋体"/>
          <w:sz w:val="24"/>
        </w:rPr>
      </w:pPr>
      <w:r>
        <w:rPr>
          <w:rFonts w:hint="eastAsia" w:ascii="宋体" w:hAnsi="宋体" w:cs="宋体"/>
          <w:sz w:val="24"/>
        </w:rPr>
        <w:t>从全世界范围来看，碳排放权已成为一项稀缺资源。 如果企业没有拥有足够的碳排放权就不可以向空气中排放温室气体，以至于影响了企业的日常生产经营的碳排放量。碳排放权作为企业生产经营的必要条件，能够通过生产服务带了经济效益的流入。同时企业可以把多余的碳排放权通过碳市场交易来出售给其他主体来达到有经济利益的流入。</w:t>
      </w:r>
    </w:p>
    <w:p w14:paraId="6086A0B5">
      <w:pPr>
        <w:spacing w:before="240" w:after="240"/>
        <w:outlineLvl w:val="2"/>
        <w:rPr>
          <w:rFonts w:ascii="黑体" w:hAnsi="黑体" w:eastAsia="黑体" w:cs="黑体"/>
          <w:b/>
          <w:bCs/>
          <w:sz w:val="24"/>
        </w:rPr>
      </w:pPr>
      <w:bookmarkStart w:id="35" w:name="_Toc15715"/>
      <w:r>
        <w:rPr>
          <w:rFonts w:hint="eastAsia" w:ascii="黑体" w:hAnsi="黑体" w:eastAsia="黑体" w:cs="黑体"/>
          <w:b/>
          <w:bCs/>
          <w:sz w:val="24"/>
        </w:rPr>
        <w:t>4</w:t>
      </w:r>
      <w:r>
        <w:rPr>
          <w:rFonts w:ascii="黑体" w:hAnsi="黑体" w:eastAsia="黑体" w:cs="黑体"/>
          <w:b/>
          <w:bCs/>
          <w:sz w:val="24"/>
        </w:rPr>
        <w:t>.</w:t>
      </w:r>
      <w:r>
        <w:rPr>
          <w:rFonts w:hint="eastAsia" w:ascii="黑体" w:hAnsi="黑体" w:eastAsia="黑体" w:cs="黑体"/>
          <w:b/>
          <w:bCs/>
          <w:sz w:val="24"/>
        </w:rPr>
        <w:t>成本能够进行有效计量</w:t>
      </w:r>
      <w:bookmarkEnd w:id="35"/>
    </w:p>
    <w:p w14:paraId="27D02BBA">
      <w:pPr>
        <w:spacing w:line="360" w:lineRule="auto"/>
        <w:ind w:firstLine="480" w:firstLineChars="200"/>
        <w:rPr>
          <w:rFonts w:ascii="宋体" w:hAnsi="宋体" w:cs="宋体"/>
          <w:sz w:val="24"/>
        </w:rPr>
      </w:pPr>
      <w:r>
        <w:rPr>
          <w:rFonts w:hint="eastAsia" w:ascii="宋体" w:hAnsi="宋体" w:cs="宋体"/>
          <w:sz w:val="24"/>
        </w:rPr>
        <w:t>我国企业取得碳排放权方式是通过自身建设 CDM 项目产生 CERs，其成本是由项目建设申请中产生的各种费用进行计量。 其次，我国目前已经在七个省市建立碳交易试点，待到碳交易市场成熟之后，企业向外购进碳排放权的成本也能通过市场得到公允的反映。</w:t>
      </w:r>
    </w:p>
    <w:p w14:paraId="782A4E97">
      <w:pPr>
        <w:spacing w:line="360" w:lineRule="auto"/>
        <w:ind w:firstLine="480" w:firstLineChars="200"/>
        <w:rPr>
          <w:rFonts w:ascii="宋体" w:hAnsi="宋体" w:cs="宋体"/>
          <w:sz w:val="24"/>
        </w:rPr>
      </w:pPr>
      <w:r>
        <w:rPr>
          <w:rFonts w:hint="eastAsia" w:ascii="宋体" w:hAnsi="宋体" w:cs="宋体"/>
          <w:sz w:val="24"/>
        </w:rPr>
        <w:t>通过上面的详细分析可以得出我国在基于 CDM 项目上的碳排放权是符合会计准则对于资产的定义和确认条件的，可以将其认为企业的一项资产。</w:t>
      </w:r>
    </w:p>
    <w:p w14:paraId="0A15F6C3">
      <w:pPr>
        <w:spacing w:before="360" w:after="360"/>
        <w:outlineLvl w:val="1"/>
        <w:rPr>
          <w:rFonts w:ascii="黑体" w:hAnsi="黑体" w:eastAsia="黑体"/>
          <w:b/>
          <w:sz w:val="30"/>
          <w:szCs w:val="30"/>
        </w:rPr>
      </w:pPr>
      <w:bookmarkStart w:id="36" w:name="_Toc18930"/>
      <w:bookmarkStart w:id="37" w:name="_Toc17479"/>
      <w:bookmarkStart w:id="38" w:name="_Toc19477"/>
      <w:bookmarkStart w:id="39" w:name="_Toc483351887"/>
      <w:r>
        <w:rPr>
          <w:rFonts w:ascii="黑体" w:hAnsi="黑体" w:eastAsia="黑体"/>
          <w:b/>
          <w:sz w:val="30"/>
          <w:szCs w:val="30"/>
        </w:rPr>
        <w:t>（二）</w:t>
      </w:r>
      <w:r>
        <w:rPr>
          <w:rFonts w:hint="eastAsia" w:ascii="黑体" w:hAnsi="黑体" w:eastAsia="黑体"/>
          <w:b/>
          <w:sz w:val="30"/>
          <w:szCs w:val="30"/>
        </w:rPr>
        <w:t>用于日常生产情况下确认为无形资产</w:t>
      </w:r>
      <w:bookmarkEnd w:id="36"/>
      <w:bookmarkEnd w:id="37"/>
      <w:bookmarkEnd w:id="38"/>
      <w:bookmarkEnd w:id="39"/>
    </w:p>
    <w:p w14:paraId="07A84CB8">
      <w:pPr>
        <w:spacing w:line="360" w:lineRule="auto"/>
        <w:ind w:firstLine="480" w:firstLineChars="200"/>
        <w:rPr>
          <w:rFonts w:ascii="宋体" w:hAnsi="宋体" w:cs="宋体"/>
          <w:sz w:val="24"/>
        </w:rPr>
      </w:pPr>
      <w:r>
        <w:rPr>
          <w:rFonts w:hint="eastAsia" w:ascii="宋体" w:hAnsi="宋体" w:cs="宋体"/>
          <w:sz w:val="24"/>
        </w:rPr>
        <w:t>当企业所持有CERs的目的是生产产品和提高产品的生产效率时，企业可以将 CERs看作成一项无形资产。在这种情况下，</w:t>
      </w:r>
      <w:r>
        <w:rPr>
          <w:rStyle w:val="14"/>
          <w:rFonts w:hint="eastAsia" w:ascii="宋体" w:hAnsi="宋体" w:cs="宋体"/>
          <w:b w:val="0"/>
          <w:sz w:val="24"/>
        </w:rPr>
        <w:t>企业将拥有 CERs 的用于日常生产经营</w:t>
      </w:r>
      <w:r>
        <w:rPr>
          <w:rFonts w:hint="eastAsia" w:ascii="宋体" w:hAnsi="宋体" w:cs="宋体"/>
          <w:sz w:val="24"/>
        </w:rPr>
        <w:t>，若期末企业实际的排放量达到基准时，企业可以将剩余的 CERs 留存用于企业未来期间抵减。这样的既符合单独出售或转让的无形资产特征，又符合CERs 不具有实物形态，同时可以真实反映CERs给企业带来经济利益流入的途径。</w:t>
      </w:r>
    </w:p>
    <w:p w14:paraId="5E93D2F5">
      <w:pPr>
        <w:spacing w:before="360" w:after="360"/>
        <w:outlineLvl w:val="1"/>
        <w:rPr>
          <w:rFonts w:ascii="黑体" w:hAnsi="黑体" w:eastAsia="黑体"/>
          <w:b/>
          <w:sz w:val="30"/>
          <w:szCs w:val="30"/>
        </w:rPr>
      </w:pPr>
      <w:bookmarkStart w:id="40" w:name="_Toc27399"/>
      <w:bookmarkStart w:id="41" w:name="_Toc483351888"/>
      <w:bookmarkStart w:id="42" w:name="_Toc22523"/>
    </w:p>
    <w:p w14:paraId="6810EFF8">
      <w:pPr>
        <w:spacing w:before="360" w:after="360"/>
        <w:outlineLvl w:val="1"/>
        <w:rPr>
          <w:rStyle w:val="16"/>
          <w:sz w:val="30"/>
          <w:szCs w:val="30"/>
        </w:rPr>
      </w:pPr>
      <w:bookmarkStart w:id="43" w:name="_Toc32284"/>
      <w:r>
        <w:rPr>
          <w:rFonts w:hint="eastAsia" w:ascii="黑体" w:hAnsi="黑体" w:eastAsia="黑体"/>
          <w:b/>
          <w:sz w:val="30"/>
          <w:szCs w:val="30"/>
        </w:rPr>
        <w:t>（三）企业用于出售情况下确认为金融资产</w:t>
      </w:r>
      <w:bookmarkEnd w:id="40"/>
      <w:bookmarkEnd w:id="41"/>
      <w:bookmarkEnd w:id="42"/>
      <w:bookmarkEnd w:id="43"/>
    </w:p>
    <w:p w14:paraId="6CD2FDAB">
      <w:pPr>
        <w:spacing w:line="360" w:lineRule="auto"/>
        <w:ind w:firstLine="480" w:firstLineChars="200"/>
        <w:rPr>
          <w:rFonts w:ascii="宋体" w:hAnsi="宋体" w:cs="宋体"/>
          <w:sz w:val="24"/>
        </w:rPr>
      </w:pPr>
      <w:bookmarkStart w:id="44" w:name="_Toc483351889"/>
      <w:bookmarkStart w:id="45" w:name="_Toc9318"/>
      <w:bookmarkStart w:id="46" w:name="_Toc8001"/>
      <w:r>
        <w:rPr>
          <w:rFonts w:hint="eastAsia" w:ascii="宋体" w:hAnsi="宋体" w:cs="宋体"/>
          <w:sz w:val="24"/>
        </w:rPr>
        <w:t>碳交易市场的成熟，可以反映 CERs公允价值，一些企业或者金融机构往往会使用CERs值对市场价格的波动来赚取差价，这时CERs出售和购买会成为日常经营活动的主体。在这样的情形下，CERs应当认为一项金融资产。 伴随着碳交易市场的日益活跃和完善，CERs 可以带来经济利益的流入通过金融工具， 根据企业拥有 CERs 的目的的这种情况下，不可以将其确认为无形资产和存货， 应当把CERs 看作为一项金融资产来进行确认。</w:t>
      </w:r>
    </w:p>
    <w:p w14:paraId="755A7DA2">
      <w:pPr>
        <w:spacing w:before="480" w:after="480"/>
        <w:outlineLvl w:val="0"/>
        <w:rPr>
          <w:rFonts w:ascii="黑体" w:hAnsi="黑体" w:eastAsia="黑体"/>
          <w:b/>
          <w:bCs/>
          <w:sz w:val="36"/>
          <w:szCs w:val="36"/>
        </w:rPr>
      </w:pPr>
      <w:bookmarkStart w:id="47" w:name="_Toc12621"/>
      <w:r>
        <w:rPr>
          <w:rFonts w:hint="eastAsia" w:ascii="黑体" w:hAnsi="黑体" w:eastAsia="黑体"/>
          <w:b/>
          <w:bCs/>
          <w:sz w:val="36"/>
          <w:szCs w:val="36"/>
        </w:rPr>
        <w:t>三</w:t>
      </w:r>
      <w:bookmarkStart w:id="48" w:name="_Hlk483480858"/>
      <w:r>
        <w:rPr>
          <w:rFonts w:ascii="黑体" w:hAnsi="黑体" w:eastAsia="黑体"/>
          <w:b/>
          <w:bCs/>
          <w:sz w:val="36"/>
          <w:szCs w:val="36"/>
        </w:rPr>
        <w:t>、基于 CDM 项目</w:t>
      </w:r>
      <w:bookmarkEnd w:id="48"/>
      <w:r>
        <w:rPr>
          <w:rFonts w:ascii="黑体" w:hAnsi="黑体" w:eastAsia="黑体"/>
          <w:b/>
          <w:bCs/>
          <w:sz w:val="36"/>
          <w:szCs w:val="36"/>
        </w:rPr>
        <w:t>的碳排放权</w:t>
      </w:r>
      <w:r>
        <w:rPr>
          <w:rFonts w:hint="eastAsia" w:ascii="黑体" w:hAnsi="黑体" w:eastAsia="黑体"/>
          <w:b/>
          <w:bCs/>
          <w:sz w:val="36"/>
          <w:szCs w:val="36"/>
        </w:rPr>
        <w:t>的初始</w:t>
      </w:r>
      <w:r>
        <w:rPr>
          <w:rFonts w:ascii="黑体" w:hAnsi="黑体" w:eastAsia="黑体"/>
          <w:b/>
          <w:bCs/>
          <w:sz w:val="36"/>
          <w:szCs w:val="36"/>
        </w:rPr>
        <w:t>计量</w:t>
      </w:r>
      <w:r>
        <w:rPr>
          <w:rFonts w:hint="eastAsia" w:ascii="黑体" w:hAnsi="黑体" w:eastAsia="黑体"/>
          <w:b/>
          <w:bCs/>
          <w:sz w:val="36"/>
          <w:szCs w:val="36"/>
        </w:rPr>
        <w:t>与后续计量</w:t>
      </w:r>
      <w:bookmarkEnd w:id="44"/>
      <w:bookmarkEnd w:id="45"/>
      <w:bookmarkEnd w:id="46"/>
      <w:bookmarkEnd w:id="47"/>
    </w:p>
    <w:p w14:paraId="2B929B13">
      <w:pPr>
        <w:spacing w:before="360" w:after="360"/>
        <w:outlineLvl w:val="1"/>
        <w:rPr>
          <w:rFonts w:ascii="黑体" w:hAnsi="黑体" w:eastAsia="黑体"/>
          <w:b/>
          <w:sz w:val="30"/>
          <w:szCs w:val="30"/>
        </w:rPr>
      </w:pPr>
      <w:bookmarkStart w:id="49" w:name="_Toc20764"/>
      <w:bookmarkStart w:id="50" w:name="_Toc9156"/>
      <w:bookmarkStart w:id="51" w:name="_Toc483351890"/>
      <w:bookmarkStart w:id="52" w:name="_Toc32019"/>
      <w:r>
        <w:rPr>
          <w:rFonts w:hint="eastAsia" w:ascii="黑体" w:hAnsi="黑体" w:eastAsia="黑体"/>
          <w:b/>
          <w:sz w:val="30"/>
          <w:szCs w:val="30"/>
        </w:rPr>
        <w:t>（一）确认为无形资产时碳排放权的计量</w:t>
      </w:r>
      <w:bookmarkEnd w:id="49"/>
      <w:bookmarkEnd w:id="50"/>
      <w:bookmarkEnd w:id="51"/>
      <w:bookmarkEnd w:id="52"/>
    </w:p>
    <w:p w14:paraId="3253FF0C">
      <w:pPr>
        <w:spacing w:line="360" w:lineRule="auto"/>
        <w:rPr>
          <w:rStyle w:val="16"/>
          <w:rFonts w:ascii="宋体" w:hAnsi="宋体" w:cs="宋体"/>
          <w:sz w:val="24"/>
          <w:szCs w:val="24"/>
        </w:rPr>
      </w:pPr>
      <w:r>
        <w:rPr>
          <w:rStyle w:val="16"/>
          <w:rFonts w:hint="eastAsia" w:ascii="宋体" w:hAnsi="宋体" w:cs="宋体"/>
          <w:sz w:val="24"/>
          <w:szCs w:val="24"/>
        </w:rPr>
        <w:t xml:space="preserve">    当前的 CDM 项目中，碳排放权是由经核证的碳减排量的形式进行交易的。首先企业应该是通过CDM 项目注册并经过核证的国内企业，然后这些企业可以在其无形资产科目下设“碳减排量”的二级明细科目，最后做出以下的会计处理：</w:t>
      </w:r>
    </w:p>
    <w:p w14:paraId="5B6C2C5A">
      <w:pPr>
        <w:tabs>
          <w:tab w:val="left" w:pos="284"/>
        </w:tabs>
        <w:spacing w:before="240" w:after="240"/>
        <w:outlineLvl w:val="2"/>
        <w:rPr>
          <w:rStyle w:val="16"/>
          <w:rFonts w:ascii="黑体" w:hAnsi="黑体" w:eastAsia="黑体" w:cs="黑体"/>
          <w:b/>
          <w:bCs/>
          <w:sz w:val="24"/>
          <w:szCs w:val="24"/>
        </w:rPr>
      </w:pPr>
      <w:bookmarkStart w:id="53" w:name="_Toc3131"/>
      <w:r>
        <w:rPr>
          <w:rStyle w:val="16"/>
          <w:rFonts w:hint="eastAsia" w:ascii="黑体" w:hAnsi="黑体" w:eastAsia="黑体" w:cs="黑体"/>
          <w:b/>
          <w:bCs/>
          <w:sz w:val="24"/>
          <w:szCs w:val="24"/>
        </w:rPr>
        <w:t>1.初始计量</w:t>
      </w:r>
      <w:bookmarkEnd w:id="53"/>
    </w:p>
    <w:p w14:paraId="5FEE4CFD">
      <w:pPr>
        <w:spacing w:line="360" w:lineRule="auto"/>
        <w:ind w:firstLine="480" w:firstLineChars="200"/>
        <w:rPr>
          <w:rStyle w:val="16"/>
          <w:rFonts w:ascii="宋体" w:hAnsi="宋体" w:cs="宋体"/>
          <w:sz w:val="24"/>
          <w:szCs w:val="24"/>
        </w:rPr>
      </w:pPr>
      <w:r>
        <w:rPr>
          <w:rStyle w:val="16"/>
          <w:rFonts w:hint="eastAsia" w:ascii="宋体" w:hAnsi="宋体" w:cs="宋体"/>
          <w:sz w:val="24"/>
          <w:szCs w:val="24"/>
        </w:rPr>
        <w:t>无形资产应当按照成本进行初始计量，有以下情况：一、由企业开发的项目，其开发成本作为初始成本，平时归集，项目完成后转入无形资产账户；二、由政府授予的，当日国外活跃市场的公允价值作为初始成本。</w:t>
      </w:r>
    </w:p>
    <w:p w14:paraId="540C6D03">
      <w:pPr>
        <w:spacing w:before="240" w:after="240"/>
        <w:outlineLvl w:val="2"/>
        <w:rPr>
          <w:rStyle w:val="16"/>
          <w:rFonts w:ascii="黑体" w:hAnsi="黑体" w:eastAsia="黑体" w:cs="黑体"/>
          <w:b/>
          <w:bCs/>
          <w:sz w:val="24"/>
          <w:szCs w:val="24"/>
        </w:rPr>
      </w:pPr>
      <w:bookmarkStart w:id="54" w:name="_Toc30510"/>
      <w:r>
        <w:rPr>
          <w:rStyle w:val="16"/>
          <w:rFonts w:hint="eastAsia" w:ascii="黑体" w:hAnsi="黑体" w:eastAsia="黑体" w:cs="黑体"/>
          <w:b/>
          <w:bCs/>
          <w:sz w:val="24"/>
          <w:szCs w:val="24"/>
        </w:rPr>
        <w:t>2.后续计量</w:t>
      </w:r>
      <w:bookmarkEnd w:id="54"/>
    </w:p>
    <w:p w14:paraId="7BBEE387">
      <w:pPr>
        <w:spacing w:line="360" w:lineRule="auto"/>
        <w:ind w:firstLine="480" w:firstLineChars="200"/>
        <w:rPr>
          <w:rStyle w:val="16"/>
          <w:rFonts w:ascii="宋体" w:hAnsi="宋体" w:cs="宋体"/>
          <w:sz w:val="24"/>
          <w:szCs w:val="24"/>
        </w:rPr>
      </w:pPr>
      <w:r>
        <w:rPr>
          <w:rStyle w:val="16"/>
          <w:rFonts w:hint="eastAsia" w:ascii="宋体" w:hAnsi="宋体" w:cs="宋体"/>
          <w:sz w:val="24"/>
          <w:szCs w:val="24"/>
        </w:rPr>
        <w:t>待合同到期时可以将碳减排量一次性出售给发达国家的企业，同时收益也不需要分摊到其他收益期，也不需要进行无形资产的摊销。但是在出售时，根据《清洁发展机制项目运行管理办法》的明文规定，收益可以在实施项目的企业和中国政府之间分配。取得碳减排量和价款的账面价值差额扣除上缴给国家的部分其余可以归入当期损益。</w:t>
      </w:r>
    </w:p>
    <w:p w14:paraId="652BB145">
      <w:pPr>
        <w:spacing w:before="240" w:after="240"/>
        <w:outlineLvl w:val="2"/>
        <w:rPr>
          <w:rStyle w:val="16"/>
          <w:rFonts w:ascii="黑体" w:hAnsi="黑体" w:eastAsia="黑体" w:cs="黑体"/>
          <w:b/>
          <w:bCs/>
          <w:sz w:val="24"/>
          <w:szCs w:val="24"/>
        </w:rPr>
      </w:pPr>
      <w:bookmarkStart w:id="55" w:name="_Toc23953"/>
      <w:r>
        <w:rPr>
          <w:rStyle w:val="16"/>
          <w:rFonts w:hint="eastAsia" w:ascii="黑体" w:hAnsi="黑体" w:eastAsia="黑体" w:cs="黑体"/>
          <w:b/>
          <w:bCs/>
          <w:sz w:val="24"/>
          <w:szCs w:val="24"/>
        </w:rPr>
        <w:t>3.分配的具体比例</w:t>
      </w:r>
      <w:bookmarkEnd w:id="55"/>
    </w:p>
    <w:p w14:paraId="583C8E63">
      <w:pPr>
        <w:spacing w:line="360" w:lineRule="auto"/>
        <w:ind w:firstLine="480" w:firstLineChars="200"/>
        <w:rPr>
          <w:rStyle w:val="16"/>
          <w:rFonts w:ascii="宋体" w:hAnsi="宋体" w:cs="宋体"/>
          <w:sz w:val="24"/>
          <w:szCs w:val="24"/>
        </w:rPr>
      </w:pPr>
      <w:r>
        <w:rPr>
          <w:rStyle w:val="16"/>
          <w:rFonts w:hint="eastAsia" w:ascii="宋体" w:hAnsi="宋体" w:cs="宋体"/>
          <w:sz w:val="24"/>
          <w:szCs w:val="24"/>
        </w:rPr>
        <w:t>项目为全氟碳化物和氢氟碳化物类项目时，政府需要收取转让温室气体减排量转让额的 65%；项目为重点领域（以提高能源效率、可再生能源、开发利用新能源和煤层气为主以及回收利用甲烷）以及植树造林项目等类环境保护项目时，政府需收取该转让额的 2%。项目为氧化亚氮类项目时，政府需要收取该转让额的 30%；</w:t>
      </w:r>
    </w:p>
    <w:p w14:paraId="262F6281">
      <w:pPr>
        <w:spacing w:before="480" w:after="480"/>
        <w:outlineLvl w:val="0"/>
        <w:rPr>
          <w:rFonts w:ascii="黑体" w:hAnsi="黑体" w:eastAsia="黑体" w:cs="宋体"/>
          <w:b/>
          <w:kern w:val="0"/>
          <w:sz w:val="36"/>
          <w:szCs w:val="36"/>
        </w:rPr>
      </w:pPr>
      <w:bookmarkStart w:id="56" w:name="_Toc19907"/>
      <w:bookmarkStart w:id="57" w:name="_Toc481069335"/>
      <w:r>
        <w:rPr>
          <w:rFonts w:hint="eastAsia" w:ascii="黑体" w:hAnsi="黑体" w:eastAsia="黑体" w:cs="宋体"/>
          <w:b/>
          <w:kern w:val="0"/>
          <w:sz w:val="36"/>
          <w:szCs w:val="36"/>
        </w:rPr>
        <w:t>五、结论</w:t>
      </w:r>
    </w:p>
    <w:p w14:paraId="02E2AFFB">
      <w:pPr>
        <w:spacing w:line="360" w:lineRule="auto"/>
        <w:ind w:firstLine="480" w:firstLineChars="200"/>
        <w:outlineLvl w:val="1"/>
        <w:rPr>
          <w:rFonts w:ascii="宋体" w:hAnsi="宋体" w:cs="宋体"/>
          <w:kern w:val="0"/>
          <w:sz w:val="24"/>
        </w:rPr>
      </w:pPr>
      <w:r>
        <w:rPr>
          <w:rFonts w:hint="eastAsia" w:ascii="宋体" w:hAnsi="宋体" w:cs="宋体"/>
          <w:sz w:val="24"/>
        </w:rPr>
        <w:t>为了能减轻全球气候变暖的情况，1997年84国在日本京都签署了《京都议定书》（KP），条约对发达国家的温室气体减排量化方针有明文规定。</w:t>
      </w:r>
      <w:r>
        <w:rPr>
          <w:rFonts w:hint="eastAsia" w:ascii="宋体" w:hAnsi="宋体" w:cs="宋体"/>
          <w:kern w:val="0"/>
          <w:sz w:val="24"/>
        </w:rPr>
        <w:t>确定了三种温室气体减排的相关规定，其中CDM作为唯一一个发达国家与发展中国家进行交易的机制，也是我国参与国际碳排放权交易的途径。近年来，我国成功注册的CDM项目与日俱增，与碳排放权相关的会计问题也成为学术界关注的焦点。本文首先通过阐述碳排放权及CDM项目产生的历史背景，明确了论文的研究目的及意义。其次又对</w:t>
      </w:r>
      <w:r>
        <w:rPr>
          <w:rFonts w:hint="eastAsia" w:ascii="宋体" w:hAnsi="宋体"/>
          <w:sz w:val="24"/>
        </w:rPr>
        <w:t>碳排放权的特征及其会计理论确认，即碳排放权什么情况下无形资产和金融资产。同时还详细的说明了碳排放权的计量与后续计量。最后文章又对CDM项目的碳排放权会计信息进行披露并说明虽注重表内披露，但也需要表外披露为辅。</w:t>
      </w:r>
    </w:p>
    <w:p w14:paraId="4D85DDBD">
      <w:pPr>
        <w:spacing w:line="360" w:lineRule="auto"/>
        <w:outlineLvl w:val="1"/>
        <w:rPr>
          <w:rFonts w:ascii="宋体" w:hAnsi="宋体" w:cs="宋体"/>
          <w:color w:val="FF0000"/>
          <w:kern w:val="0"/>
          <w:sz w:val="24"/>
        </w:rPr>
      </w:pPr>
    </w:p>
    <w:p w14:paraId="2398864A">
      <w:pPr>
        <w:spacing w:line="360" w:lineRule="auto"/>
        <w:jc w:val="center"/>
        <w:outlineLvl w:val="0"/>
        <w:rPr>
          <w:rFonts w:ascii="黑体" w:hAnsi="黑体" w:eastAsia="黑体" w:cs="楷体"/>
          <w:b/>
          <w:bCs/>
          <w:sz w:val="28"/>
          <w:szCs w:val="28"/>
        </w:rPr>
      </w:pPr>
      <w:bookmarkStart w:id="58" w:name="_Toc483351896"/>
      <w:bookmarkStart w:id="59" w:name="_Toc19354"/>
      <w:bookmarkStart w:id="60" w:name="_Toc26959"/>
      <w:commentRangeStart w:id="8"/>
      <w:r>
        <w:rPr>
          <w:rFonts w:hint="eastAsia" w:ascii="黑体" w:hAnsi="黑体" w:eastAsia="黑体" w:cs="楷体"/>
          <w:b/>
          <w:bCs/>
          <w:sz w:val="28"/>
          <w:szCs w:val="28"/>
        </w:rPr>
        <w:t>参考文献</w:t>
      </w:r>
      <w:bookmarkEnd w:id="56"/>
      <w:bookmarkEnd w:id="57"/>
      <w:bookmarkEnd w:id="58"/>
      <w:bookmarkEnd w:id="59"/>
      <w:bookmarkEnd w:id="60"/>
      <w:commentRangeEnd w:id="8"/>
      <w:r>
        <w:rPr>
          <w:rStyle w:val="16"/>
        </w:rPr>
        <w:commentReference w:id="8"/>
      </w:r>
    </w:p>
    <w:p w14:paraId="2D647B35">
      <w:pPr>
        <w:spacing w:line="360" w:lineRule="auto"/>
        <w:rPr>
          <w:rFonts w:ascii="宋体" w:hAnsi="宋体" w:cs="宋体"/>
          <w:sz w:val="24"/>
        </w:rPr>
      </w:pPr>
      <w:r>
        <w:rPr>
          <w:rFonts w:hint="eastAsia" w:ascii="宋体" w:hAnsi="宋体" w:cs="宋体"/>
          <w:sz w:val="24"/>
        </w:rPr>
        <w:t xml:space="preserve"> [1]刘裕生. 1992-2011 年北京市碳排放核算[J]. 东方企业文化，2013，2(5)：10-12</w:t>
      </w:r>
    </w:p>
    <w:p w14:paraId="02D76E2F">
      <w:pPr>
        <w:spacing w:line="360" w:lineRule="auto"/>
        <w:rPr>
          <w:rFonts w:ascii="宋体" w:hAnsi="宋体" w:cs="宋体"/>
          <w:sz w:val="24"/>
        </w:rPr>
      </w:pPr>
      <w:r>
        <w:rPr>
          <w:rFonts w:hint="eastAsia" w:ascii="宋体" w:hAnsi="宋体" w:cs="宋体"/>
          <w:sz w:val="24"/>
        </w:rPr>
        <w:t xml:space="preserve"> [2]杨博. 企业强制减排义务前后的碳排放权会计处理[J].会计之友，2013，23(6)：15-16</w:t>
      </w:r>
    </w:p>
    <w:p w14:paraId="1DAAB0F5">
      <w:pPr>
        <w:spacing w:line="360" w:lineRule="auto"/>
        <w:rPr>
          <w:rFonts w:ascii="宋体" w:hAnsi="宋体" w:cs="宋体"/>
          <w:sz w:val="24"/>
        </w:rPr>
      </w:pPr>
      <w:r>
        <w:rPr>
          <w:rFonts w:hint="eastAsia" w:ascii="宋体" w:hAnsi="宋体" w:cs="宋体"/>
          <w:sz w:val="24"/>
        </w:rPr>
        <w:t xml:space="preserve"> [3]周志方. 论国际碳会计的最新发展及启示[J].中国能源，2009，9:17-18</w:t>
      </w:r>
    </w:p>
    <w:p w14:paraId="38535D1B">
      <w:pPr>
        <w:spacing w:line="360" w:lineRule="auto"/>
        <w:rPr>
          <w:rFonts w:ascii="宋体" w:hAnsi="宋体" w:cs="宋体"/>
          <w:sz w:val="24"/>
        </w:rPr>
      </w:pPr>
      <w:r>
        <w:rPr>
          <w:rFonts w:hint="eastAsia" w:ascii="宋体" w:hAnsi="宋体" w:cs="宋体"/>
          <w:sz w:val="24"/>
        </w:rPr>
        <w:t xml:space="preserve"> [4]徐志新. 碳排放权交易机制及其相关会计处理研究[J].财务与会计，2013（1）:10-11</w:t>
      </w:r>
    </w:p>
    <w:p w14:paraId="7127A4D4">
      <w:pPr>
        <w:spacing w:line="360" w:lineRule="auto"/>
        <w:rPr>
          <w:rFonts w:ascii="宋体" w:hAnsi="宋体" w:cs="宋体"/>
          <w:sz w:val="24"/>
        </w:rPr>
      </w:pPr>
      <w:r>
        <w:rPr>
          <w:rFonts w:hint="eastAsia" w:ascii="宋体" w:hAnsi="宋体" w:cs="宋体"/>
          <w:sz w:val="24"/>
        </w:rPr>
        <w:t xml:space="preserve"> [5]吴德林. 碳排放权会计问题初探[J].开放导报，2013（3）：21-22</w:t>
      </w:r>
    </w:p>
    <w:p w14:paraId="18EB58EC">
      <w:pPr>
        <w:spacing w:line="360" w:lineRule="auto"/>
        <w:rPr>
          <w:rFonts w:ascii="宋体" w:hAnsi="宋体" w:cs="宋体"/>
          <w:sz w:val="24"/>
        </w:rPr>
      </w:pPr>
      <w:r>
        <w:rPr>
          <w:rFonts w:hint="eastAsia" w:ascii="宋体" w:hAnsi="宋体" w:cs="宋体"/>
          <w:sz w:val="24"/>
        </w:rPr>
        <w:t xml:space="preserve"> [6] 王艳龙，孙启明. 低碳经济下碳排放权会计问题探析[J]. 经济纵横，    2010,12(5):23-24</w:t>
      </w:r>
    </w:p>
    <w:p w14:paraId="17BF0B9C">
      <w:pPr>
        <w:spacing w:line="360" w:lineRule="auto"/>
        <w:rPr>
          <w:rFonts w:ascii="宋体" w:hAnsi="宋体" w:cs="宋体"/>
          <w:sz w:val="24"/>
        </w:rPr>
      </w:pPr>
      <w:r>
        <w:rPr>
          <w:rFonts w:hint="eastAsia" w:ascii="宋体" w:hAnsi="宋体" w:cs="宋体"/>
          <w:sz w:val="24"/>
        </w:rPr>
        <w:t xml:space="preserve"> [7]武立聪. 企业碳中和交易会计处理初探[J]. 中国商贸，2012,36(2)：16-17 </w:t>
      </w:r>
    </w:p>
    <w:p w14:paraId="172D2A27">
      <w:pPr>
        <w:spacing w:line="360" w:lineRule="auto"/>
        <w:rPr>
          <w:rFonts w:ascii="宋体" w:hAnsi="宋体" w:cs="宋体"/>
          <w:sz w:val="24"/>
        </w:rPr>
      </w:pPr>
      <w:r>
        <w:rPr>
          <w:rFonts w:hint="eastAsia" w:ascii="宋体" w:hAnsi="宋体" w:cs="宋体"/>
          <w:sz w:val="24"/>
        </w:rPr>
        <w:t xml:space="preserve"> [8]张彩平. 碳排放权交易会计研究[J].中南大学学报，2011，2(4)：14-15 </w:t>
      </w:r>
    </w:p>
    <w:p w14:paraId="3AB6E2C6">
      <w:pPr>
        <w:spacing w:line="360" w:lineRule="auto"/>
        <w:rPr>
          <w:rFonts w:ascii="宋体" w:hAnsi="宋体" w:cs="宋体"/>
          <w:sz w:val="24"/>
        </w:rPr>
      </w:pPr>
      <w:r>
        <w:rPr>
          <w:rFonts w:hint="eastAsia" w:ascii="宋体" w:hAnsi="宋体" w:cs="宋体"/>
          <w:sz w:val="24"/>
        </w:rPr>
        <w:t xml:space="preserve"> [9]张彩平. 碳排放权初始会计确认问题研究[J].会计与经济研究，2011，4(7)：23-24 </w:t>
      </w:r>
    </w:p>
    <w:p w14:paraId="1526A025">
      <w:pPr>
        <w:spacing w:line="360" w:lineRule="auto"/>
        <w:rPr>
          <w:rFonts w:ascii="宋体" w:hAnsi="宋体" w:cs="宋体"/>
          <w:sz w:val="24"/>
        </w:rPr>
      </w:pPr>
      <w:r>
        <w:rPr>
          <w:rFonts w:hint="eastAsia" w:ascii="宋体" w:hAnsi="宋体" w:cs="宋体"/>
          <w:sz w:val="24"/>
        </w:rPr>
        <w:t xml:space="preserve"> [10]鲁静怡. IASB／FASB 资产概念变迁：综述及其对我国的启发浅析[J].商情，2012,28(8): 70-71 </w:t>
      </w:r>
    </w:p>
    <w:p w14:paraId="05DA7998">
      <w:pPr>
        <w:spacing w:line="360" w:lineRule="auto"/>
        <w:rPr>
          <w:rFonts w:ascii="宋体" w:hAnsi="宋体" w:cs="宋体"/>
          <w:sz w:val="24"/>
        </w:rPr>
      </w:pPr>
      <w:r>
        <w:rPr>
          <w:rFonts w:hint="eastAsia" w:ascii="宋体" w:hAnsi="宋体" w:cs="宋体"/>
          <w:sz w:val="24"/>
        </w:rPr>
        <w:t xml:space="preserve"> [11]武宇卿. 浅议会计要素以及计量原则[J].知识经济，2013（4）：56-57</w:t>
      </w:r>
    </w:p>
    <w:p w14:paraId="29778101">
      <w:pPr>
        <w:spacing w:line="360" w:lineRule="auto"/>
        <w:rPr>
          <w:rFonts w:ascii="宋体" w:hAnsi="宋体" w:cs="宋体"/>
          <w:sz w:val="24"/>
        </w:rPr>
      </w:pPr>
      <w:r>
        <w:rPr>
          <w:rFonts w:hint="eastAsia" w:ascii="宋体" w:hAnsi="宋体" w:cs="宋体"/>
          <w:sz w:val="24"/>
        </w:rPr>
        <w:t xml:space="preserve"> [12] 薛睿. 中国低碳经济发展的政策研究[</w:t>
      </w:r>
      <w:r>
        <w:rPr>
          <w:rFonts w:ascii="宋体" w:hAnsi="宋体" w:cs="宋体"/>
          <w:sz w:val="24"/>
        </w:rPr>
        <w:t>D</w:t>
      </w:r>
      <w:r>
        <w:rPr>
          <w:rFonts w:hint="eastAsia" w:ascii="宋体" w:hAnsi="宋体" w:cs="宋体"/>
          <w:sz w:val="24"/>
        </w:rPr>
        <w:t>]. 中共中央党校博士论文，2011,6:45-46</w:t>
      </w:r>
    </w:p>
    <w:p w14:paraId="689CD376">
      <w:pPr>
        <w:rPr>
          <w:szCs w:val="32"/>
        </w:rPr>
      </w:pPr>
    </w:p>
    <w:p w14:paraId="6369365F">
      <w:pPr>
        <w:rPr>
          <w:szCs w:val="32"/>
        </w:rPr>
      </w:pPr>
    </w:p>
    <w:p w14:paraId="5657D8EA">
      <w:pPr>
        <w:rPr>
          <w:szCs w:val="32"/>
        </w:rPr>
      </w:pPr>
    </w:p>
    <w:p w14:paraId="03297343">
      <w:pPr>
        <w:spacing w:line="360" w:lineRule="auto"/>
        <w:jc w:val="center"/>
        <w:rPr>
          <w:rFonts w:ascii="黑体" w:hAnsi="黑体" w:eastAsia="黑体"/>
          <w:sz w:val="36"/>
          <w:szCs w:val="36"/>
        </w:rPr>
      </w:pPr>
      <w:r>
        <w:rPr>
          <w:rFonts w:hint="eastAsia" w:ascii="黑体" w:hAnsi="黑体" w:eastAsia="黑体"/>
          <w:sz w:val="36"/>
          <w:szCs w:val="36"/>
        </w:rPr>
        <w:t>附录 标题</w:t>
      </w:r>
    </w:p>
    <w:p w14:paraId="6837742E">
      <w:pPr>
        <w:pStyle w:val="32"/>
        <w:spacing w:line="360" w:lineRule="auto"/>
        <w:ind w:firstLine="480"/>
        <w:rPr>
          <w:sz w:val="24"/>
        </w:rPr>
      </w:pPr>
      <w:r>
        <w:rPr>
          <w:rFonts w:hint="eastAsia"/>
          <w:sz w:val="24"/>
        </w:rPr>
        <w:t>附录是作为论文主体的补充项目，并不是必须的。</w:t>
      </w:r>
    </w:p>
    <w:p w14:paraId="3270F450">
      <w:pPr>
        <w:spacing w:line="520" w:lineRule="exact"/>
        <w:ind w:firstLine="480" w:firstLineChars="200"/>
        <w:rPr>
          <w:sz w:val="24"/>
        </w:rPr>
      </w:pPr>
      <w:r>
        <w:rPr>
          <w:rFonts w:hint="eastAsia"/>
          <w:sz w:val="24"/>
        </w:rPr>
        <w:t>依序编排为附录</w:t>
      </w:r>
      <w:r>
        <w:rPr>
          <w:sz w:val="24"/>
        </w:rPr>
        <w:t>1</w:t>
      </w:r>
      <w:r>
        <w:rPr>
          <w:rFonts w:hint="eastAsia"/>
          <w:sz w:val="24"/>
        </w:rPr>
        <w:t>、附录</w:t>
      </w:r>
      <w:r>
        <w:rPr>
          <w:sz w:val="24"/>
        </w:rPr>
        <w:t>2</w:t>
      </w:r>
      <w:r>
        <w:rPr>
          <w:rFonts w:hint="eastAsia"/>
          <w:sz w:val="24"/>
        </w:rPr>
        <w:t>……。附录中的图表公式另编排序号，与正文分开。</w:t>
      </w:r>
    </w:p>
    <w:p w14:paraId="32596540">
      <w:pPr>
        <w:rPr>
          <w:szCs w:val="32"/>
        </w:rPr>
      </w:pPr>
    </w:p>
    <w:p w14:paraId="79F32B41">
      <w:pPr>
        <w:spacing w:line="360" w:lineRule="auto"/>
        <w:jc w:val="left"/>
        <w:rPr>
          <w:sz w:val="28"/>
          <w:szCs w:val="28"/>
        </w:rPr>
      </w:pPr>
    </w:p>
    <w:p w14:paraId="00CF4644">
      <w:pPr>
        <w:spacing w:line="360" w:lineRule="auto"/>
        <w:jc w:val="left"/>
        <w:rPr>
          <w:sz w:val="28"/>
          <w:szCs w:val="28"/>
        </w:rPr>
      </w:pPr>
    </w:p>
    <w:p w14:paraId="2AC756AD">
      <w:pPr>
        <w:spacing w:line="360" w:lineRule="auto"/>
        <w:jc w:val="left"/>
        <w:rPr>
          <w:sz w:val="28"/>
          <w:szCs w:val="28"/>
        </w:rPr>
      </w:pPr>
    </w:p>
    <w:p w14:paraId="3C54F8A0">
      <w:pPr>
        <w:spacing w:line="360" w:lineRule="auto"/>
        <w:jc w:val="left"/>
        <w:rPr>
          <w:sz w:val="28"/>
          <w:szCs w:val="28"/>
        </w:rPr>
      </w:pPr>
    </w:p>
    <w:p w14:paraId="22D2E5EF">
      <w:pPr>
        <w:spacing w:line="360" w:lineRule="auto"/>
        <w:jc w:val="left"/>
        <w:rPr>
          <w:sz w:val="28"/>
          <w:szCs w:val="28"/>
        </w:rPr>
      </w:pPr>
    </w:p>
    <w:p w14:paraId="0FCBCEDB">
      <w:pPr>
        <w:spacing w:line="360" w:lineRule="auto"/>
        <w:jc w:val="left"/>
        <w:rPr>
          <w:sz w:val="28"/>
          <w:szCs w:val="28"/>
        </w:rPr>
      </w:pPr>
    </w:p>
    <w:p w14:paraId="18CB508C">
      <w:pPr>
        <w:spacing w:line="360" w:lineRule="auto"/>
        <w:jc w:val="left"/>
        <w:rPr>
          <w:sz w:val="28"/>
          <w:szCs w:val="28"/>
        </w:rPr>
      </w:pPr>
    </w:p>
    <w:p w14:paraId="4ADDCC0C">
      <w:pPr>
        <w:spacing w:line="360" w:lineRule="auto"/>
        <w:jc w:val="left"/>
        <w:rPr>
          <w:sz w:val="28"/>
          <w:szCs w:val="28"/>
        </w:rPr>
      </w:pPr>
    </w:p>
    <w:p w14:paraId="21D7A283">
      <w:pPr>
        <w:spacing w:line="360" w:lineRule="auto"/>
        <w:jc w:val="left"/>
        <w:rPr>
          <w:b/>
          <w:bCs/>
          <w:sz w:val="24"/>
          <w:szCs w:val="24"/>
        </w:rPr>
      </w:pPr>
    </w:p>
    <w:p w14:paraId="39E9C340">
      <w:pPr>
        <w:spacing w:line="360" w:lineRule="auto"/>
        <w:jc w:val="left"/>
        <w:rPr>
          <w:sz w:val="28"/>
          <w:szCs w:val="28"/>
        </w:rPr>
      </w:pPr>
      <w:r>
        <w:rPr>
          <w:b/>
          <w:bCs/>
          <w:sz w:val="24"/>
          <w:szCs w:val="24"/>
        </w:rPr>
        <w:t>附件2:学位论文格式</w:t>
      </w:r>
    </w:p>
    <w:p w14:paraId="3E92970B">
      <w:pPr>
        <w:rPr>
          <w:sz w:val="28"/>
          <w:szCs w:val="28"/>
        </w:rPr>
      </w:pPr>
      <w:r>
        <w:rPr>
          <w:rFonts w:hint="eastAsia" w:ascii="黑体" w:hAnsi="黑体" w:eastAsia="黑体"/>
          <w:b/>
          <w:sz w:val="32"/>
          <w:szCs w:val="32"/>
        </w:rPr>
        <w:t>学位论文格式要求</w:t>
      </w:r>
    </w:p>
    <w:p w14:paraId="18B95944">
      <w:pPr>
        <w:rPr>
          <w:sz w:val="28"/>
          <w:szCs w:val="28"/>
        </w:rPr>
      </w:pPr>
    </w:p>
    <w:p w14:paraId="19A23822">
      <w:pPr>
        <w:ind w:firstLine="565" w:firstLineChars="201"/>
        <w:rPr>
          <w:rFonts w:ascii="黑体" w:hAnsi="黑体" w:eastAsia="黑体"/>
          <w:b/>
          <w:sz w:val="28"/>
          <w:szCs w:val="28"/>
        </w:rPr>
      </w:pPr>
      <w:r>
        <w:rPr>
          <w:rFonts w:hint="eastAsia" w:ascii="黑体" w:hAnsi="黑体" w:eastAsia="黑体"/>
          <w:b/>
          <w:sz w:val="28"/>
          <w:szCs w:val="28"/>
        </w:rPr>
        <w:t>一．论文的打印、装订格式说明</w:t>
      </w:r>
    </w:p>
    <w:p w14:paraId="7F502D31">
      <w:pPr>
        <w:spacing w:line="360" w:lineRule="auto"/>
        <w:ind w:firstLine="570"/>
        <w:rPr>
          <w:rFonts w:ascii="宋体" w:hAnsi="宋体" w:cs="宋体"/>
          <w:sz w:val="24"/>
        </w:rPr>
      </w:pPr>
      <w:r>
        <w:rPr>
          <w:rFonts w:hint="eastAsia" w:ascii="宋体" w:hAnsi="宋体" w:cs="宋体"/>
          <w:sz w:val="24"/>
        </w:rPr>
        <w:t>1.论文正文页面规格</w:t>
      </w:r>
    </w:p>
    <w:p w14:paraId="41E29D86">
      <w:pPr>
        <w:spacing w:line="360" w:lineRule="auto"/>
        <w:ind w:firstLine="573"/>
        <w:rPr>
          <w:rFonts w:ascii="宋体" w:hAnsi="宋体" w:cs="宋体"/>
          <w:sz w:val="24"/>
        </w:rPr>
      </w:pPr>
      <w:r>
        <w:rPr>
          <w:rFonts w:hint="eastAsia" w:ascii="宋体" w:hAnsi="宋体" w:cs="宋体"/>
          <w:sz w:val="24"/>
        </w:rPr>
        <w:t>学位论文一律使用A4纸双面居中打印，小四号宋体字体，字符为标准间距，每段左空2字编写;版面设置数据参考值:页边距分别为上、下各2.6cm，左、右各3 cm;页眉、页脚各1.8cm。文字的行间距为1.5倍行距，段间距为0。</w:t>
      </w:r>
    </w:p>
    <w:p w14:paraId="2DC1E6BC">
      <w:pPr>
        <w:spacing w:line="360" w:lineRule="auto"/>
        <w:ind w:firstLine="573"/>
        <w:rPr>
          <w:rFonts w:ascii="宋体" w:hAnsi="宋体" w:cs="宋体"/>
          <w:sz w:val="24"/>
        </w:rPr>
      </w:pPr>
      <w:r>
        <w:rPr>
          <w:rFonts w:hint="eastAsia" w:ascii="宋体" w:hAnsi="宋体" w:cs="宋体"/>
          <w:sz w:val="24"/>
        </w:rPr>
        <w:t xml:space="preserve">2.装订顺序    </w:t>
      </w:r>
    </w:p>
    <w:p w14:paraId="02BD97F6">
      <w:pPr>
        <w:spacing w:line="360" w:lineRule="auto"/>
        <w:ind w:firstLine="573"/>
        <w:rPr>
          <w:rFonts w:ascii="宋体" w:hAnsi="宋体" w:cs="宋体"/>
          <w:sz w:val="24"/>
        </w:rPr>
      </w:pPr>
      <w:r>
        <w:rPr>
          <w:rFonts w:hint="eastAsia" w:ascii="宋体" w:hAnsi="宋体" w:cs="宋体"/>
          <w:sz w:val="24"/>
        </w:rPr>
        <w:t>题名页(扉页)——原创性声明——授权声明——目录——摘要——正文——参考文献——附录</w:t>
      </w:r>
    </w:p>
    <w:p w14:paraId="3E7B6DCB">
      <w:pPr>
        <w:spacing w:line="360" w:lineRule="auto"/>
        <w:ind w:firstLine="573"/>
        <w:rPr>
          <w:rFonts w:ascii="宋体" w:hAnsi="宋体" w:cs="宋体"/>
          <w:sz w:val="24"/>
        </w:rPr>
      </w:pPr>
      <w:r>
        <w:rPr>
          <w:rFonts w:hint="eastAsia" w:ascii="宋体" w:hAnsi="宋体" w:cs="宋体"/>
          <w:sz w:val="24"/>
        </w:rPr>
        <w:t>3.排版格式</w:t>
      </w:r>
    </w:p>
    <w:p w14:paraId="202FCBC8">
      <w:pPr>
        <w:spacing w:line="360" w:lineRule="auto"/>
        <w:ind w:firstLine="573"/>
        <w:rPr>
          <w:rFonts w:ascii="宋体" w:hAnsi="宋体" w:cs="宋体"/>
          <w:sz w:val="24"/>
        </w:rPr>
      </w:pPr>
      <w:r>
        <w:rPr>
          <w:rFonts w:hint="eastAsia" w:ascii="宋体" w:hAnsi="宋体" w:cs="宋体"/>
          <w:sz w:val="24"/>
        </w:rPr>
        <w:t>(1)目录</w:t>
      </w:r>
    </w:p>
    <w:p w14:paraId="64A989A0">
      <w:pPr>
        <w:spacing w:line="360" w:lineRule="auto"/>
        <w:ind w:firstLine="573"/>
        <w:rPr>
          <w:rFonts w:ascii="宋体" w:hAnsi="宋体" w:cs="宋体"/>
          <w:sz w:val="24"/>
        </w:rPr>
      </w:pPr>
      <w:r>
        <w:rPr>
          <w:rFonts w:hint="eastAsia" w:ascii="宋体" w:hAnsi="宋体" w:cs="宋体"/>
          <w:sz w:val="24"/>
        </w:rPr>
        <w:t xml:space="preserve">“目录”两字居中编排(小二号黑体字体加粗)，两字间空1格(注:“一格”的标准为一个汉字，以下同)，单倍行距，段前、段后各空24磅，下空1行为章、节、条或章、条、款及其开始页码，一般标记到三级标题。每一级标题的层次代号和文字为小四号黑体。      </w:t>
      </w:r>
    </w:p>
    <w:p w14:paraId="5711B463">
      <w:pPr>
        <w:spacing w:line="360" w:lineRule="auto"/>
        <w:ind w:firstLine="573"/>
        <w:rPr>
          <w:rFonts w:ascii="宋体" w:hAnsi="宋体" w:cs="宋体"/>
          <w:sz w:val="24"/>
        </w:rPr>
      </w:pPr>
      <w:r>
        <w:rPr>
          <w:rFonts w:hint="eastAsia" w:ascii="宋体" w:hAnsi="宋体" w:cs="宋体"/>
          <w:sz w:val="24"/>
        </w:rPr>
        <w:t xml:space="preserve">(2)摘要   </w:t>
      </w:r>
    </w:p>
    <w:p w14:paraId="5D421E11">
      <w:pPr>
        <w:spacing w:line="360" w:lineRule="auto"/>
        <w:ind w:firstLine="573"/>
        <w:rPr>
          <w:rFonts w:ascii="宋体" w:hAnsi="宋体" w:cs="宋体"/>
          <w:sz w:val="24"/>
        </w:rPr>
      </w:pPr>
      <w:r>
        <w:rPr>
          <w:rFonts w:hint="eastAsia" w:ascii="宋体" w:hAnsi="宋体" w:cs="宋体"/>
          <w:sz w:val="24"/>
        </w:rPr>
        <w:t xml:space="preserve"> “摘要”两字居中编排(小二号黑体字体加粗)，两字间空1格，单倍行距，段前、段后各空24磅； “摘要”两字下空1行，编排摘要内容(四号宋体字体)。段落按照“首行缩进”格式，每段开头空2格，标点符号占1格；摘要内容后下空1行左空2格编排“关键词”三字(四号黑体字体)，其后为圆角冒号和关键词(四号宋体字体)，关键词之间用分号分隔。</w:t>
      </w:r>
    </w:p>
    <w:p w14:paraId="4C8865CA">
      <w:pPr>
        <w:spacing w:line="360" w:lineRule="auto"/>
        <w:ind w:firstLine="573"/>
        <w:rPr>
          <w:rFonts w:ascii="宋体" w:hAnsi="宋体" w:cs="宋体"/>
          <w:sz w:val="24"/>
        </w:rPr>
      </w:pPr>
      <w:r>
        <w:rPr>
          <w:rFonts w:hint="eastAsia" w:ascii="宋体" w:hAnsi="宋体" w:cs="宋体"/>
          <w:sz w:val="24"/>
        </w:rPr>
        <w:t xml:space="preserve"> (3)正文    </w:t>
      </w:r>
    </w:p>
    <w:p w14:paraId="27B5DAA4">
      <w:pPr>
        <w:spacing w:line="360" w:lineRule="auto"/>
        <w:ind w:firstLine="573"/>
        <w:rPr>
          <w:rFonts w:ascii="宋体" w:hAnsi="宋体" w:cs="宋体"/>
          <w:sz w:val="24"/>
        </w:rPr>
      </w:pPr>
      <w:r>
        <w:rPr>
          <w:rFonts w:hint="eastAsia" w:ascii="宋体" w:hAnsi="宋体" w:cs="宋体"/>
          <w:sz w:val="24"/>
        </w:rPr>
        <w:t xml:space="preserve">第一层次:1级标题使用小二号黑体字体加粗，单倍行距，段前、段后各空24磅，题序和标题之间以顿号隔开；    </w:t>
      </w:r>
    </w:p>
    <w:p w14:paraId="06917A68">
      <w:pPr>
        <w:spacing w:line="360" w:lineRule="auto"/>
        <w:ind w:firstLine="573"/>
        <w:rPr>
          <w:rFonts w:ascii="宋体" w:hAnsi="宋体" w:cs="宋体"/>
          <w:sz w:val="24"/>
        </w:rPr>
      </w:pPr>
      <w:r>
        <w:rPr>
          <w:rFonts w:hint="eastAsia" w:ascii="宋体" w:hAnsi="宋体" w:cs="宋体"/>
          <w:sz w:val="24"/>
        </w:rPr>
        <w:t xml:space="preserve">第二层次:2级标题使用小三号黑体字体加粗，单倍行距，段前、段后各空18磅；    </w:t>
      </w:r>
    </w:p>
    <w:p w14:paraId="16119D6F">
      <w:pPr>
        <w:spacing w:line="360" w:lineRule="auto"/>
        <w:ind w:firstLine="573"/>
        <w:rPr>
          <w:rFonts w:ascii="宋体" w:hAnsi="宋体" w:cs="宋体"/>
          <w:sz w:val="24"/>
        </w:rPr>
      </w:pPr>
      <w:r>
        <w:rPr>
          <w:rFonts w:hint="eastAsia" w:ascii="宋体" w:hAnsi="宋体" w:cs="宋体"/>
          <w:sz w:val="24"/>
        </w:rPr>
        <w:t xml:space="preserve">第三层次:3级标题使用小四号黑体字体加粗，单倍行距，段前、段后各空12磅；    </w:t>
      </w:r>
    </w:p>
    <w:p w14:paraId="3CD160E6">
      <w:pPr>
        <w:spacing w:line="360" w:lineRule="auto"/>
        <w:ind w:firstLine="573"/>
        <w:rPr>
          <w:rFonts w:ascii="宋体" w:hAnsi="宋体" w:cs="宋体"/>
          <w:sz w:val="24"/>
        </w:rPr>
      </w:pPr>
      <w:r>
        <w:rPr>
          <w:rFonts w:hint="eastAsia" w:ascii="宋体" w:hAnsi="宋体" w:cs="宋体"/>
          <w:sz w:val="24"/>
        </w:rPr>
        <w:t>第四层次:4级标题使用小四号楷体字加粗；</w:t>
      </w:r>
    </w:p>
    <w:p w14:paraId="477F2C86">
      <w:pPr>
        <w:spacing w:line="360" w:lineRule="auto"/>
        <w:ind w:firstLine="573"/>
        <w:rPr>
          <w:rFonts w:ascii="宋体" w:hAnsi="宋体" w:cs="宋体"/>
          <w:sz w:val="24"/>
        </w:rPr>
      </w:pPr>
      <w:r>
        <w:rPr>
          <w:rFonts w:hint="eastAsia" w:ascii="宋体" w:hAnsi="宋体" w:cs="宋体"/>
          <w:sz w:val="24"/>
        </w:rPr>
        <w:t>正文文字内容使用小四号宋体字体，文字的行间距为1.5倍行距，段间距为</w:t>
      </w:r>
      <w:r>
        <w:rPr>
          <w:rFonts w:ascii="宋体" w:hAnsi="宋体" w:cs="宋体"/>
          <w:sz w:val="24"/>
        </w:rPr>
        <w:t>0。</w:t>
      </w:r>
    </w:p>
    <w:p w14:paraId="74DBE9C4">
      <w:pPr>
        <w:spacing w:line="360" w:lineRule="auto"/>
        <w:ind w:firstLine="573"/>
        <w:rPr>
          <w:rFonts w:ascii="宋体" w:hAnsi="宋体" w:cs="宋体"/>
          <w:sz w:val="24"/>
        </w:rPr>
      </w:pPr>
      <w:r>
        <w:rPr>
          <w:rFonts w:hint="eastAsia" w:ascii="宋体" w:hAnsi="宋体" w:cs="宋体"/>
          <w:sz w:val="24"/>
        </w:rPr>
        <w:t xml:space="preserve"> (4)图表    </w:t>
      </w:r>
    </w:p>
    <w:p w14:paraId="33A40348">
      <w:pPr>
        <w:spacing w:line="360" w:lineRule="auto"/>
        <w:ind w:firstLine="573"/>
        <w:rPr>
          <w:rFonts w:ascii="宋体" w:hAnsi="宋体" w:cs="宋体"/>
          <w:sz w:val="24"/>
        </w:rPr>
      </w:pPr>
      <w:r>
        <w:rPr>
          <w:rFonts w:hint="eastAsia" w:ascii="宋体" w:hAnsi="宋体" w:cs="宋体"/>
          <w:sz w:val="24"/>
        </w:rPr>
        <w:t>图的编号由“图”字和从1开始的阿拉伯数字组成，例如“图1”等。图应当有图题，并置于图的编号之后。图的编号和图题应当置于图下方的居中位置；    表的编号由“表”字和从1开始的阿拉伯数字组成，如“表1”“表2”等。每张表应当有表题，置于表的编号之后。表的编号和表题应当置于表上方的居中位置。</w:t>
      </w:r>
    </w:p>
    <w:p w14:paraId="361EBD65">
      <w:pPr>
        <w:spacing w:line="360" w:lineRule="auto"/>
        <w:ind w:firstLine="573"/>
        <w:rPr>
          <w:rFonts w:ascii="宋体" w:hAnsi="宋体" w:cs="宋体"/>
          <w:sz w:val="24"/>
        </w:rPr>
      </w:pPr>
      <w:r>
        <w:rPr>
          <w:rFonts w:hint="eastAsia" w:ascii="宋体" w:hAnsi="宋体" w:cs="宋体"/>
          <w:sz w:val="24"/>
        </w:rPr>
        <w:t>(5)参考文献</w:t>
      </w:r>
    </w:p>
    <w:p w14:paraId="5454962B">
      <w:pPr>
        <w:spacing w:line="360" w:lineRule="auto"/>
        <w:ind w:firstLine="573"/>
        <w:rPr>
          <w:rFonts w:ascii="宋体" w:hAnsi="宋体" w:cs="宋体"/>
          <w:sz w:val="24"/>
        </w:rPr>
      </w:pPr>
      <w:r>
        <w:rPr>
          <w:rFonts w:hint="eastAsia" w:ascii="宋体" w:hAnsi="宋体" w:cs="宋体"/>
          <w:sz w:val="24"/>
        </w:rPr>
        <w:t>参考文献是文中引用的有具体文字来源的文献集合。按照GB 7714《文后参考文献著录规则》的规定执行。引用文献总数不少于10篇； 参考文献以文献在整个论文中出现的次序用[1], [2], [3]...…形式统一排序、依次列出；参考文献的表示格式为:</w:t>
      </w:r>
    </w:p>
    <w:p w14:paraId="4C11DE97">
      <w:pPr>
        <w:spacing w:line="360" w:lineRule="auto"/>
        <w:ind w:firstLine="573"/>
        <w:rPr>
          <w:rFonts w:ascii="宋体" w:hAnsi="宋体" w:cs="宋体"/>
          <w:sz w:val="24"/>
        </w:rPr>
      </w:pPr>
      <w:r>
        <w:rPr>
          <w:rFonts w:hint="eastAsia" w:ascii="宋体" w:hAnsi="宋体" w:cs="宋体"/>
          <w:sz w:val="24"/>
        </w:rPr>
        <w:t xml:space="preserve">著作: [序号]作者.书名[M].出版地:出版社，出版时间:引用部分起止页 </w:t>
      </w:r>
    </w:p>
    <w:p w14:paraId="64952111">
      <w:pPr>
        <w:spacing w:line="360" w:lineRule="auto"/>
        <w:ind w:firstLine="573"/>
        <w:rPr>
          <w:rFonts w:ascii="宋体" w:hAnsi="宋体" w:cs="宋体"/>
          <w:sz w:val="24"/>
        </w:rPr>
      </w:pPr>
      <w:r>
        <w:rPr>
          <w:rFonts w:hint="eastAsia" w:ascii="宋体" w:hAnsi="宋体" w:cs="宋体"/>
          <w:sz w:val="24"/>
        </w:rPr>
        <w:t>期刊:[序号]作者.文章题目[J].期刊名，年，卷(期):引用部分起止页</w:t>
      </w:r>
    </w:p>
    <w:p w14:paraId="48227DB0">
      <w:pPr>
        <w:spacing w:line="360" w:lineRule="auto"/>
        <w:ind w:firstLine="573"/>
        <w:rPr>
          <w:rFonts w:ascii="宋体" w:hAnsi="宋体" w:cs="宋体"/>
          <w:sz w:val="24"/>
        </w:rPr>
      </w:pPr>
      <w:r>
        <w:rPr>
          <w:rFonts w:hint="eastAsia" w:ascii="宋体" w:hAnsi="宋体" w:cs="宋体"/>
          <w:sz w:val="24"/>
        </w:rPr>
        <w:t xml:space="preserve">会议论文集:[序号]作者.文集[C].出版地:出版者，出版时间:引用部分起止页    </w:t>
      </w:r>
    </w:p>
    <w:p w14:paraId="6E3CB415">
      <w:pPr>
        <w:spacing w:line="360" w:lineRule="auto"/>
        <w:ind w:firstLine="573"/>
        <w:rPr>
          <w:rFonts w:ascii="宋体" w:hAnsi="宋体" w:cs="宋体"/>
          <w:sz w:val="24"/>
        </w:rPr>
      </w:pPr>
      <w:r>
        <w:rPr>
          <w:rFonts w:hint="eastAsia" w:ascii="宋体" w:hAnsi="宋体" w:cs="宋体"/>
          <w:sz w:val="24"/>
        </w:rPr>
        <w:t xml:space="preserve">学位论文:[序号]作者.题名[D].保存地点:保存单位，年份:引用部分起止页    </w:t>
      </w:r>
    </w:p>
    <w:p w14:paraId="29D58018">
      <w:pPr>
        <w:spacing w:line="360" w:lineRule="auto"/>
        <w:ind w:firstLine="573"/>
        <w:rPr>
          <w:rFonts w:ascii="宋体" w:hAnsi="宋体" w:cs="宋体"/>
          <w:sz w:val="24"/>
        </w:rPr>
      </w:pPr>
      <w:r>
        <w:rPr>
          <w:rFonts w:hint="eastAsia" w:ascii="宋体" w:hAnsi="宋体" w:cs="宋体"/>
          <w:sz w:val="24"/>
        </w:rPr>
        <w:t>专利:[序号]专利申请者，题名:国别，专利号 [P].发布日期</w:t>
      </w:r>
    </w:p>
    <w:p w14:paraId="7E9FD2EF">
      <w:pPr>
        <w:spacing w:line="360" w:lineRule="auto"/>
        <w:ind w:firstLine="573"/>
        <w:rPr>
          <w:rFonts w:ascii="宋体" w:hAnsi="宋体" w:cs="宋体"/>
          <w:sz w:val="24"/>
        </w:rPr>
      </w:pPr>
      <w:r>
        <w:rPr>
          <w:rFonts w:hint="eastAsia" w:ascii="宋体" w:hAnsi="宋体" w:cs="宋体"/>
          <w:sz w:val="24"/>
        </w:rPr>
        <w:t xml:space="preserve"> (6)附录    </w:t>
      </w:r>
    </w:p>
    <w:p w14:paraId="546C2032">
      <w:pPr>
        <w:spacing w:line="360" w:lineRule="auto"/>
        <w:ind w:firstLine="573"/>
        <w:rPr>
          <w:rFonts w:ascii="宋体" w:hAnsi="宋体" w:cs="宋体"/>
          <w:sz w:val="24"/>
        </w:rPr>
      </w:pPr>
      <w:r>
        <w:rPr>
          <w:rFonts w:hint="eastAsia" w:ascii="宋体" w:hAnsi="宋体" w:cs="宋体"/>
          <w:sz w:val="24"/>
        </w:rPr>
        <w:t xml:space="preserve">依序编排为附录1、附录2与正文分开。    </w:t>
      </w:r>
    </w:p>
    <w:p w14:paraId="531C044A">
      <w:pPr>
        <w:spacing w:line="360" w:lineRule="auto"/>
        <w:ind w:firstLine="573"/>
        <w:rPr>
          <w:rFonts w:ascii="宋体" w:hAnsi="宋体" w:cs="宋体"/>
          <w:sz w:val="24"/>
        </w:rPr>
      </w:pPr>
      <w:r>
        <w:rPr>
          <w:rFonts w:hint="eastAsia" w:ascii="宋体" w:hAnsi="宋体" w:cs="宋体"/>
          <w:sz w:val="24"/>
        </w:rPr>
        <w:t xml:space="preserve">(7)注释   </w:t>
      </w:r>
    </w:p>
    <w:p w14:paraId="74DD7AD3">
      <w:pPr>
        <w:spacing w:line="360" w:lineRule="auto"/>
        <w:ind w:firstLine="573"/>
        <w:rPr>
          <w:rFonts w:ascii="宋体" w:hAnsi="宋体" w:cs="宋体"/>
          <w:sz w:val="24"/>
        </w:rPr>
      </w:pPr>
      <w:r>
        <w:rPr>
          <w:rFonts w:hint="eastAsia" w:ascii="宋体" w:hAnsi="宋体" w:cs="宋体"/>
          <w:sz w:val="24"/>
        </w:rPr>
        <w:t xml:space="preserve"> 注释正文用小五号宋体，标表示，每页单独编号。……。附录中的图表公式另编排序号注释序号采用①②③④的方式使用上</w:t>
      </w:r>
    </w:p>
    <w:p w14:paraId="6FBDD8BA">
      <w:pPr>
        <w:spacing w:line="360" w:lineRule="auto"/>
        <w:ind w:firstLine="573"/>
        <w:rPr>
          <w:rFonts w:ascii="宋体" w:hAnsi="宋体" w:cs="宋体"/>
          <w:sz w:val="24"/>
        </w:rPr>
      </w:pPr>
    </w:p>
    <w:p w14:paraId="61303CF2">
      <w:pPr>
        <w:spacing w:line="360" w:lineRule="auto"/>
        <w:ind w:firstLine="573"/>
        <w:rPr>
          <w:rFonts w:ascii="宋体" w:hAnsi="宋体" w:cs="宋体"/>
          <w:sz w:val="24"/>
        </w:rPr>
      </w:pPr>
    </w:p>
    <w:p w14:paraId="129F06FA">
      <w:pPr>
        <w:rPr>
          <w:rStyle w:val="22"/>
          <w:sz w:val="24"/>
        </w:rPr>
      </w:pPr>
      <w:r>
        <w:rPr>
          <w:rFonts w:hint="eastAsia" w:ascii="黑体" w:hAnsi="黑体" w:eastAsia="黑体"/>
          <w:b/>
          <w:sz w:val="28"/>
          <w:szCs w:val="28"/>
        </w:rPr>
        <w:t>二．论文格式范例（只作格式参考）</w:t>
      </w:r>
    </w:p>
    <w:p w14:paraId="79DB7058">
      <w:pPr>
        <w:spacing w:line="360" w:lineRule="auto"/>
        <w:ind w:firstLine="573"/>
        <w:rPr>
          <w:rFonts w:ascii="宋体" w:hAnsi="宋体" w:cs="宋体"/>
          <w:sz w:val="24"/>
        </w:rPr>
      </w:pPr>
    </w:p>
    <w:p w14:paraId="7271E3C4">
      <w:pPr>
        <w:spacing w:line="360" w:lineRule="auto"/>
        <w:jc w:val="center"/>
        <w:rPr>
          <w:rStyle w:val="22"/>
          <w:sz w:val="24"/>
        </w:rPr>
      </w:pPr>
    </w:p>
    <w:p w14:paraId="163BC387">
      <w:pPr>
        <w:jc w:val="center"/>
        <w:rPr>
          <w:rStyle w:val="22"/>
        </w:rPr>
      </w:pPr>
      <w:r>
        <w:rPr>
          <w:rStyle w:val="22"/>
          <w:rFonts w:hint="eastAsia"/>
        </w:rPr>
        <w:t>国家开放大学</w:t>
      </w:r>
    </w:p>
    <w:p w14:paraId="0DC8C61F">
      <w:pPr>
        <w:jc w:val="center"/>
        <w:rPr>
          <w:rStyle w:val="21"/>
        </w:rPr>
      </w:pPr>
    </w:p>
    <w:p w14:paraId="6A654FF4">
      <w:pPr>
        <w:jc w:val="center"/>
        <w:rPr>
          <w:rStyle w:val="21"/>
          <w:sz w:val="52"/>
          <w:szCs w:val="52"/>
        </w:rPr>
      </w:pPr>
      <w:r>
        <w:rPr>
          <w:rStyle w:val="21"/>
          <w:rFonts w:hint="eastAsia"/>
          <w:sz w:val="52"/>
          <w:szCs w:val="52"/>
        </w:rPr>
        <w:t>学士学位论文</w:t>
      </w:r>
    </w:p>
    <w:p w14:paraId="4BB9226D">
      <w:pPr>
        <w:jc w:val="center"/>
        <w:rPr>
          <w:rStyle w:val="21"/>
        </w:rPr>
      </w:pPr>
    </w:p>
    <w:p w14:paraId="186A80D3">
      <w:pPr>
        <w:ind w:firstLine="560"/>
        <w:rPr>
          <w:sz w:val="28"/>
          <w:szCs w:val="28"/>
        </w:rPr>
      </w:pPr>
      <w:r>
        <w:rPr>
          <w:rFonts w:hint="eastAsia"/>
          <w:sz w:val="28"/>
          <w:szCs w:val="28"/>
        </w:rPr>
        <w:t>中文题目：基于CDM项目下碳排放权的会计处理问题探析</w:t>
      </w:r>
      <w:r>
        <w:rPr>
          <w:sz w:val="28"/>
          <w:szCs w:val="28"/>
        </w:rPr>
        <w:t xml:space="preserve"> </w:t>
      </w:r>
    </w:p>
    <w:p w14:paraId="48DCCE3B">
      <w:pPr>
        <w:jc w:val="center"/>
        <w:rPr>
          <w:rStyle w:val="21"/>
        </w:rPr>
      </w:pPr>
    </w:p>
    <w:p w14:paraId="59E09462">
      <w:pPr>
        <w:jc w:val="center"/>
        <w:rPr>
          <w:rStyle w:val="20"/>
        </w:rPr>
      </w:pPr>
    </w:p>
    <w:p w14:paraId="17A96379">
      <w:pPr>
        <w:jc w:val="center"/>
        <w:rPr>
          <w:rStyle w:val="20"/>
          <w:sz w:val="40"/>
        </w:rPr>
      </w:pPr>
    </w:p>
    <w:p w14:paraId="5859D3B3">
      <w:pPr>
        <w:spacing w:before="200" w:line="360" w:lineRule="exact"/>
        <w:ind w:firstLine="2158" w:firstLineChars="771"/>
        <w:rPr>
          <w:sz w:val="28"/>
          <w:szCs w:val="28"/>
        </w:rPr>
      </w:pPr>
      <w:r>
        <w:rPr>
          <w:rFonts w:hint="eastAsia"/>
          <w:sz w:val="28"/>
          <w:szCs w:val="28"/>
        </w:rPr>
        <w:t>分部：福建分部</w:t>
      </w:r>
      <w:r>
        <w:rPr>
          <w:sz w:val="28"/>
          <w:szCs w:val="28"/>
        </w:rPr>
        <w:t xml:space="preserve"> </w:t>
      </w:r>
    </w:p>
    <w:p w14:paraId="091B6375">
      <w:pPr>
        <w:spacing w:before="200" w:line="360" w:lineRule="exact"/>
        <w:ind w:firstLine="2158" w:firstLineChars="771"/>
        <w:rPr>
          <w:sz w:val="28"/>
          <w:szCs w:val="28"/>
        </w:rPr>
      </w:pPr>
      <w:r>
        <w:rPr>
          <w:rFonts w:hint="eastAsia"/>
          <w:sz w:val="28"/>
          <w:szCs w:val="28"/>
        </w:rPr>
        <w:t>学习中心：*</w:t>
      </w:r>
      <w:r>
        <w:rPr>
          <w:sz w:val="28"/>
          <w:szCs w:val="28"/>
        </w:rPr>
        <w:t>*</w:t>
      </w:r>
      <w:r>
        <w:rPr>
          <w:rFonts w:hint="eastAsia"/>
          <w:sz w:val="28"/>
          <w:szCs w:val="28"/>
        </w:rPr>
        <w:t>学习中心</w:t>
      </w:r>
    </w:p>
    <w:p w14:paraId="7AC3226B">
      <w:pPr>
        <w:spacing w:before="200" w:line="360" w:lineRule="exact"/>
        <w:ind w:firstLine="2125" w:firstLineChars="759"/>
        <w:rPr>
          <w:sz w:val="28"/>
          <w:szCs w:val="28"/>
        </w:rPr>
      </w:pPr>
      <w:r>
        <w:rPr>
          <w:rFonts w:hint="eastAsia"/>
          <w:sz w:val="28"/>
          <w:szCs w:val="28"/>
        </w:rPr>
        <w:t>专业：会计学</w:t>
      </w:r>
    </w:p>
    <w:p w14:paraId="2B0C5570">
      <w:pPr>
        <w:spacing w:before="200" w:line="360" w:lineRule="exact"/>
        <w:ind w:firstLine="2125" w:firstLineChars="759"/>
        <w:rPr>
          <w:sz w:val="28"/>
          <w:szCs w:val="28"/>
        </w:rPr>
      </w:pPr>
      <w:r>
        <w:rPr>
          <w:rFonts w:hint="eastAsia"/>
          <w:sz w:val="28"/>
          <w:szCs w:val="28"/>
        </w:rPr>
        <w:t>年级：20</w:t>
      </w:r>
      <w:r>
        <w:rPr>
          <w:sz w:val="28"/>
          <w:szCs w:val="28"/>
        </w:rPr>
        <w:t>**</w:t>
      </w:r>
      <w:r>
        <w:rPr>
          <w:rFonts w:hint="eastAsia"/>
          <w:sz w:val="28"/>
          <w:szCs w:val="28"/>
        </w:rPr>
        <w:t>年春（秋）</w:t>
      </w:r>
    </w:p>
    <w:p w14:paraId="13367931">
      <w:pPr>
        <w:spacing w:before="200" w:line="360" w:lineRule="exact"/>
        <w:ind w:firstLine="2125" w:firstLineChars="759"/>
        <w:rPr>
          <w:sz w:val="28"/>
          <w:szCs w:val="28"/>
        </w:rPr>
      </w:pPr>
      <w:r>
        <w:rPr>
          <w:rFonts w:hint="eastAsia"/>
          <w:sz w:val="28"/>
          <w:szCs w:val="28"/>
        </w:rPr>
        <w:t>学号：1535001251</w:t>
      </w:r>
      <w:r>
        <w:rPr>
          <w:sz w:val="28"/>
          <w:szCs w:val="28"/>
        </w:rPr>
        <w:t>****</w:t>
      </w:r>
    </w:p>
    <w:p w14:paraId="2BD3F590">
      <w:pPr>
        <w:spacing w:before="200" w:line="360" w:lineRule="exact"/>
        <w:ind w:firstLine="2125" w:firstLineChars="759"/>
        <w:rPr>
          <w:sz w:val="28"/>
          <w:szCs w:val="28"/>
        </w:rPr>
      </w:pPr>
      <w:r>
        <w:rPr>
          <w:rFonts w:hint="eastAsia"/>
          <w:sz w:val="28"/>
          <w:szCs w:val="28"/>
        </w:rPr>
        <w:t>姓名：*</w:t>
      </w:r>
      <w:r>
        <w:rPr>
          <w:sz w:val="28"/>
          <w:szCs w:val="28"/>
        </w:rPr>
        <w:t>**</w:t>
      </w:r>
    </w:p>
    <w:p w14:paraId="7D8067F4">
      <w:pPr>
        <w:spacing w:before="200" w:line="360" w:lineRule="exact"/>
        <w:ind w:firstLine="2125" w:firstLineChars="759"/>
        <w:rPr>
          <w:sz w:val="28"/>
          <w:szCs w:val="28"/>
        </w:rPr>
      </w:pPr>
      <w:r>
        <w:rPr>
          <w:rFonts w:hint="eastAsia"/>
          <w:sz w:val="28"/>
          <w:szCs w:val="28"/>
        </w:rPr>
        <w:t>指导教师：*</w:t>
      </w:r>
      <w:r>
        <w:rPr>
          <w:sz w:val="28"/>
          <w:szCs w:val="28"/>
        </w:rPr>
        <w:t>**</w:t>
      </w:r>
    </w:p>
    <w:p w14:paraId="42210941">
      <w:pPr>
        <w:spacing w:before="200"/>
        <w:ind w:firstLine="2125" w:firstLineChars="759"/>
        <w:rPr>
          <w:sz w:val="28"/>
        </w:rPr>
      </w:pPr>
    </w:p>
    <w:p w14:paraId="086CE825"/>
    <w:p w14:paraId="55128BA3">
      <w:pPr>
        <w:jc w:val="center"/>
      </w:pPr>
      <w:r>
        <w:rPr>
          <w:rFonts w:hint="eastAsia"/>
          <w:sz w:val="28"/>
        </w:rPr>
        <w:t>论文完成日期:  202</w:t>
      </w:r>
      <w:r>
        <w:rPr>
          <w:sz w:val="28"/>
        </w:rPr>
        <w:t>*</w:t>
      </w:r>
      <w:r>
        <w:rPr>
          <w:rFonts w:hint="eastAsia"/>
          <w:sz w:val="28"/>
        </w:rPr>
        <w:t xml:space="preserve"> 年 </w:t>
      </w:r>
      <w:r>
        <w:rPr>
          <w:sz w:val="28"/>
        </w:rPr>
        <w:t>*</w:t>
      </w:r>
      <w:r>
        <w:rPr>
          <w:rFonts w:hint="eastAsia"/>
          <w:sz w:val="28"/>
        </w:rPr>
        <w:t xml:space="preserve"> 月</w:t>
      </w:r>
    </w:p>
    <w:p w14:paraId="4383CEE5">
      <w:pPr>
        <w:spacing w:line="520" w:lineRule="exact"/>
        <w:ind w:firstLine="600" w:firstLineChars="200"/>
      </w:pPr>
      <w:r>
        <w:rPr>
          <w:rFonts w:ascii="仿宋" w:hAnsi="仿宋" w:eastAsia="仿宋"/>
          <w:sz w:val="30"/>
          <w:szCs w:val="30"/>
        </w:rPr>
        <w:br w:type="page"/>
      </w:r>
    </w:p>
    <w:p w14:paraId="32A50980">
      <w:pPr>
        <w:spacing w:line="360" w:lineRule="auto"/>
        <w:jc w:val="center"/>
        <w:rPr>
          <w:rFonts w:eastAsia="黑体"/>
          <w:b/>
          <w:sz w:val="36"/>
          <w:szCs w:val="30"/>
        </w:rPr>
      </w:pPr>
      <w:r>
        <w:rPr>
          <w:rFonts w:hint="eastAsia" w:eastAsia="黑体"/>
          <w:b/>
          <w:sz w:val="36"/>
          <w:szCs w:val="30"/>
        </w:rPr>
        <w:t>学位论文原创性声明</w:t>
      </w:r>
    </w:p>
    <w:p w14:paraId="006A32F8">
      <w:pPr>
        <w:spacing w:line="360" w:lineRule="auto"/>
        <w:ind w:firstLine="723"/>
        <w:jc w:val="center"/>
        <w:rPr>
          <w:rFonts w:eastAsia="黑体"/>
          <w:b/>
          <w:sz w:val="36"/>
          <w:szCs w:val="30"/>
        </w:rPr>
      </w:pPr>
    </w:p>
    <w:p w14:paraId="053201CE">
      <w:pPr>
        <w:pStyle w:val="3"/>
        <w:spacing w:line="360" w:lineRule="auto"/>
        <w:ind w:firstLine="560"/>
        <w:rPr>
          <w:sz w:val="28"/>
          <w:szCs w:val="28"/>
        </w:rPr>
      </w:pPr>
      <w:r>
        <w:rPr>
          <w:rFonts w:hint="eastAsia"/>
          <w:sz w:val="28"/>
          <w:szCs w:val="28"/>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14:paraId="6A7BE7AB">
      <w:pPr>
        <w:pStyle w:val="3"/>
        <w:spacing w:line="360" w:lineRule="auto"/>
        <w:ind w:left="0" w:leftChars="0"/>
        <w:jc w:val="center"/>
        <w:rPr>
          <w:sz w:val="28"/>
          <w:szCs w:val="28"/>
        </w:rPr>
      </w:pPr>
      <w:commentRangeStart w:id="9"/>
      <w:r>
        <w:rPr>
          <w:rFonts w:hint="eastAsia"/>
          <w:sz w:val="28"/>
          <w:szCs w:val="28"/>
        </w:rPr>
        <w:t>作者签名：</w:t>
      </w:r>
      <w:commentRangeEnd w:id="9"/>
      <w:r>
        <w:rPr>
          <w:rStyle w:val="16"/>
          <w:rFonts w:ascii="Times New Roman" w:hAnsi="Times New Roman"/>
        </w:rPr>
        <w:commentReference w:id="9"/>
      </w:r>
      <w:r>
        <w:rPr>
          <w:rFonts w:hint="eastAsia"/>
          <w:sz w:val="28"/>
          <w:szCs w:val="28"/>
        </w:rPr>
        <w:t xml:space="preserve">         日期</w:t>
      </w:r>
      <w:r>
        <w:rPr>
          <w:sz w:val="28"/>
          <w:szCs w:val="28"/>
        </w:rPr>
        <w:t>：</w:t>
      </w:r>
      <w:r>
        <w:rPr>
          <w:rFonts w:hint="eastAsia"/>
          <w:sz w:val="28"/>
          <w:szCs w:val="28"/>
        </w:rPr>
        <w:t xml:space="preserve">  年   月   日</w:t>
      </w:r>
    </w:p>
    <w:p w14:paraId="2E737A6C">
      <w:pPr>
        <w:spacing w:line="360" w:lineRule="auto"/>
        <w:jc w:val="center"/>
        <w:rPr>
          <w:rFonts w:eastAsia="黑体"/>
          <w:b/>
          <w:sz w:val="36"/>
          <w:szCs w:val="30"/>
        </w:rPr>
      </w:pPr>
      <w:bookmarkStart w:id="61" w:name="_GoBack"/>
      <w:bookmarkEnd w:id="61"/>
    </w:p>
    <w:p w14:paraId="1F2C6005">
      <w:pPr>
        <w:spacing w:line="360" w:lineRule="auto"/>
        <w:jc w:val="center"/>
        <w:rPr>
          <w:rFonts w:eastAsia="黑体"/>
          <w:b/>
          <w:sz w:val="36"/>
          <w:szCs w:val="30"/>
        </w:rPr>
      </w:pPr>
      <w:r>
        <w:rPr>
          <w:rFonts w:hint="eastAsia" w:eastAsia="黑体"/>
          <w:b/>
          <w:sz w:val="36"/>
          <w:szCs w:val="30"/>
        </w:rPr>
        <w:t>学位论文版权使用授权声明</w:t>
      </w:r>
    </w:p>
    <w:p w14:paraId="046C710B">
      <w:pPr>
        <w:pStyle w:val="3"/>
        <w:spacing w:line="360" w:lineRule="auto"/>
        <w:ind w:firstLine="560"/>
        <w:rPr>
          <w:sz w:val="28"/>
          <w:szCs w:val="28"/>
        </w:rPr>
      </w:pPr>
      <w:r>
        <w:rPr>
          <w:rFonts w:hint="eastAsia"/>
          <w:sz w:val="28"/>
          <w:szCs w:val="28"/>
        </w:rPr>
        <w:t>本人完全了解国家开放大学关于收集、保存、使用学位论文的规定，同意如下各项内容：按照学校要求提交学位论文的印刷本和电子版本；学校有权保存学位论文的印刷本和电子版，并采用影印、缩印、扫描、数字化或其它手段保存论文；学校有权提供目录检索以及提供本学位论文全文或者部分的阅览服务，</w:t>
      </w:r>
      <w:r>
        <w:rPr>
          <w:sz w:val="28"/>
          <w:szCs w:val="28"/>
        </w:rPr>
        <w:t>以及出版学位论文</w:t>
      </w:r>
      <w:r>
        <w:rPr>
          <w:rFonts w:hint="eastAsia"/>
          <w:sz w:val="28"/>
          <w:szCs w:val="28"/>
        </w:rPr>
        <w:t>；学校有权按有关规定向国家有关部门或者机构送交论文的复印件和电子版；在不以赢利为目的的前提下，学校可以适当复制论文的部分或全部内容用于学术活动。</w:t>
      </w:r>
    </w:p>
    <w:p w14:paraId="4F396293">
      <w:pPr>
        <w:spacing w:line="360" w:lineRule="auto"/>
        <w:ind w:firstLine="560" w:firstLineChars="200"/>
        <w:jc w:val="center"/>
        <w:rPr>
          <w:rFonts w:hAnsi="宋体"/>
          <w:b/>
          <w:kern w:val="0"/>
          <w:sz w:val="32"/>
          <w:szCs w:val="32"/>
        </w:rPr>
      </w:pPr>
      <w:commentRangeStart w:id="10"/>
      <w:r>
        <w:rPr>
          <w:rFonts w:hint="eastAsia"/>
          <w:sz w:val="28"/>
          <w:szCs w:val="28"/>
        </w:rPr>
        <w:t>作者签名：</w:t>
      </w:r>
      <w:commentRangeEnd w:id="10"/>
      <w:r>
        <w:rPr>
          <w:rStyle w:val="16"/>
        </w:rPr>
        <w:commentReference w:id="10"/>
      </w:r>
      <w:r>
        <w:rPr>
          <w:rFonts w:hint="eastAsia"/>
          <w:sz w:val="28"/>
          <w:szCs w:val="28"/>
        </w:rPr>
        <w:t xml:space="preserve">       日期</w:t>
      </w:r>
      <w:r>
        <w:rPr>
          <w:sz w:val="28"/>
          <w:szCs w:val="28"/>
        </w:rPr>
        <w:t>：</w:t>
      </w:r>
      <w:r>
        <w:rPr>
          <w:rFonts w:hint="eastAsia"/>
          <w:sz w:val="28"/>
          <w:szCs w:val="28"/>
        </w:rPr>
        <w:t xml:space="preserve">  年   月   日</w:t>
      </w:r>
    </w:p>
    <w:p w14:paraId="6787885A">
      <w:pPr>
        <w:spacing w:line="360" w:lineRule="auto"/>
        <w:ind w:firstLine="643" w:firstLineChars="200"/>
        <w:jc w:val="center"/>
        <w:rPr>
          <w:rFonts w:hAnsi="宋体"/>
          <w:b/>
          <w:kern w:val="0"/>
          <w:sz w:val="32"/>
          <w:szCs w:val="32"/>
        </w:rPr>
      </w:pPr>
    </w:p>
    <w:p w14:paraId="5586D490">
      <w:pPr>
        <w:spacing w:line="360" w:lineRule="auto"/>
        <w:jc w:val="center"/>
        <w:rPr>
          <w:rFonts w:ascii="黑体" w:hAnsi="黑体" w:eastAsia="黑体" w:cs="黑体"/>
          <w:b/>
          <w:sz w:val="36"/>
          <w:szCs w:val="36"/>
        </w:rPr>
        <w:sectPr>
          <w:footnotePr>
            <w:numFmt w:val="decimalEnclosedCircleChinese"/>
          </w:footnotePr>
          <w:pgSz w:w="11906" w:h="16838"/>
          <w:pgMar w:top="1440" w:right="1800" w:bottom="1440" w:left="1800" w:header="851" w:footer="992" w:gutter="0"/>
          <w:cols w:space="720" w:num="1"/>
          <w:docGrid w:type="lines" w:linePitch="312" w:charSpace="0"/>
        </w:sectPr>
      </w:pPr>
    </w:p>
    <w:p w14:paraId="3095796C">
      <w:pPr>
        <w:jc w:val="center"/>
        <w:rPr>
          <w:rFonts w:ascii="黑体" w:hAnsi="黑体" w:eastAsia="黑体" w:cs="黑体"/>
          <w:b/>
          <w:sz w:val="36"/>
          <w:szCs w:val="36"/>
        </w:rPr>
      </w:pPr>
      <w:commentRangeStart w:id="11"/>
      <w:r>
        <w:rPr>
          <w:rFonts w:hint="eastAsia" w:ascii="黑体" w:hAnsi="黑体" w:eastAsia="黑体" w:cs="黑体"/>
          <w:b/>
          <w:sz w:val="36"/>
          <w:szCs w:val="36"/>
        </w:rPr>
        <w:t>目 录</w:t>
      </w:r>
      <w:commentRangeEnd w:id="11"/>
      <w:r>
        <w:rPr>
          <w:rStyle w:val="16"/>
        </w:rPr>
        <w:commentReference w:id="11"/>
      </w:r>
    </w:p>
    <w:p w14:paraId="715FE74B">
      <w:pPr>
        <w:jc w:val="center"/>
        <w:rPr>
          <w:rFonts w:ascii="黑体" w:hAnsi="黑体" w:eastAsia="黑体" w:cs="黑体"/>
          <w:b/>
          <w:sz w:val="24"/>
        </w:rPr>
      </w:pPr>
    </w:p>
    <w:p w14:paraId="073917E5">
      <w:pPr>
        <w:pStyle w:val="28"/>
        <w:tabs>
          <w:tab w:val="right" w:leader="dot" w:pos="8306"/>
        </w:tabs>
        <w:spacing w:after="0" w:line="360" w:lineRule="auto"/>
        <w:rPr>
          <w:rFonts w:ascii="黑体" w:hAnsi="黑体" w:eastAsia="黑体" w:cs="宋体"/>
          <w:bCs/>
          <w:sz w:val="24"/>
          <w:szCs w:val="24"/>
        </w:rPr>
      </w:pPr>
      <w:r>
        <w:rPr>
          <w:rFonts w:hint="eastAsia" w:ascii="宋体" w:hAnsi="宋体" w:cs="宋体"/>
          <w:bCs/>
          <w:sz w:val="24"/>
          <w:szCs w:val="24"/>
        </w:rPr>
        <w:fldChar w:fldCharType="begin"/>
      </w:r>
      <w:r>
        <w:rPr>
          <w:rFonts w:hint="eastAsia" w:ascii="宋体" w:hAnsi="宋体" w:cs="宋体"/>
          <w:bCs/>
          <w:sz w:val="24"/>
          <w:szCs w:val="24"/>
        </w:rPr>
        <w:instrText xml:space="preserve">TOC \o "1-3" \h \u </w:instrText>
      </w:r>
      <w:r>
        <w:rPr>
          <w:rFonts w:hint="eastAsia" w:ascii="宋体" w:hAnsi="宋体" w:cs="宋体"/>
          <w:bCs/>
          <w:sz w:val="24"/>
          <w:szCs w:val="24"/>
        </w:rPr>
        <w:fldChar w:fldCharType="separate"/>
      </w:r>
      <w:r>
        <w:fldChar w:fldCharType="begin"/>
      </w:r>
      <w:r>
        <w:instrText xml:space="preserve"> HYPERLINK \l "_Toc667" </w:instrText>
      </w:r>
      <w:r>
        <w:fldChar w:fldCharType="separate"/>
      </w:r>
      <w:r>
        <w:rPr>
          <w:rFonts w:hint="eastAsia" w:ascii="黑体" w:hAnsi="黑体" w:eastAsia="黑体" w:cs="宋体"/>
          <w:bCs/>
          <w:sz w:val="24"/>
          <w:szCs w:val="24"/>
        </w:rPr>
        <w:t>摘 要</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_Toc667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2</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3456522E">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"_Toc23748" </w:instrText>
      </w:r>
      <w:r>
        <w:fldChar w:fldCharType="separate"/>
      </w:r>
      <w:r>
        <w:rPr>
          <w:rFonts w:hint="eastAsia" w:ascii="黑体" w:hAnsi="黑体" w:eastAsia="黑体" w:cs="宋体"/>
          <w:bCs/>
          <w:sz w:val="24"/>
          <w:szCs w:val="24"/>
        </w:rPr>
        <w:t>一、基于 CDM 项目的原始碳排放权概述</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_Toc23748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3</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6E9B8C12">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"_Toc14418" </w:instrText>
      </w:r>
      <w:r>
        <w:fldChar w:fldCharType="separate"/>
      </w:r>
      <w:r>
        <w:rPr>
          <w:rFonts w:hint="eastAsia" w:ascii="黑体" w:hAnsi="黑体" w:eastAsia="黑体" w:cs="宋体"/>
          <w:bCs/>
          <w:sz w:val="24"/>
          <w:szCs w:val="24"/>
        </w:rPr>
        <w:t>（一）碳排放权交易</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_Toc14418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3</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605974D1">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"_Toc16084" </w:instrText>
      </w:r>
      <w:r>
        <w:fldChar w:fldCharType="separate"/>
      </w:r>
      <w:r>
        <w:rPr>
          <w:rFonts w:hint="eastAsia" w:ascii="黑体" w:hAnsi="黑体" w:eastAsia="黑体" w:cs="宋体"/>
          <w:bCs/>
          <w:sz w:val="24"/>
          <w:szCs w:val="24"/>
        </w:rPr>
        <w:t>（二）CDM 项目</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_Toc16084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5</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62E34D84">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"_Toc13801" </w:instrText>
      </w:r>
      <w:r>
        <w:fldChar w:fldCharType="separate"/>
      </w:r>
      <w:r>
        <w:rPr>
          <w:rFonts w:hint="eastAsia" w:ascii="黑体" w:hAnsi="黑体" w:eastAsia="黑体" w:cs="宋体"/>
          <w:bCs/>
          <w:sz w:val="24"/>
          <w:szCs w:val="24"/>
        </w:rPr>
        <w:t>二、基于 CDM 项目的碳排放权的特征及其会计理论确认</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_Toc13801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5</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4521A7C1">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"_Toc5757" </w:instrText>
      </w:r>
      <w:r>
        <w:fldChar w:fldCharType="separate"/>
      </w:r>
      <w:r>
        <w:rPr>
          <w:rFonts w:hint="eastAsia" w:ascii="黑体" w:hAnsi="黑体" w:eastAsia="黑体" w:cs="宋体"/>
          <w:bCs/>
          <w:sz w:val="24"/>
          <w:szCs w:val="24"/>
        </w:rPr>
        <w:t>（一）基于 CDM 的碳排放权应当确认为资产</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_Toc5757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5</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372D790C">
      <w:pPr>
        <w:pStyle w:val="28"/>
        <w:tabs>
          <w:tab w:val="right" w:leader="dot" w:pos="8306"/>
        </w:tabs>
        <w:spacing w:line="360" w:lineRule="auto"/>
        <w:rPr>
          <w:rFonts w:ascii="黑体" w:hAnsi="黑体" w:eastAsia="黑体" w:cs="宋体"/>
          <w:bCs/>
          <w:sz w:val="24"/>
        </w:rPr>
      </w:pPr>
      <w:r>
        <w:fldChar w:fldCharType="begin"/>
      </w:r>
      <w:r>
        <w:instrText xml:space="preserve"> HYPERLINK \l "_Toc19448" </w:instrText>
      </w:r>
      <w:r>
        <w:fldChar w:fldCharType="separate"/>
      </w:r>
      <w:r>
        <w:rPr>
          <w:rFonts w:hint="eastAsia" w:ascii="黑体" w:hAnsi="黑体" w:eastAsia="黑体" w:cs="宋体"/>
          <w:bCs/>
          <w:sz w:val="24"/>
        </w:rPr>
        <w:t>1</w:t>
      </w:r>
      <w:r>
        <w:rPr>
          <w:rFonts w:ascii="黑体" w:hAnsi="黑体" w:eastAsia="黑体" w:cs="宋体"/>
          <w:bCs/>
          <w:sz w:val="24"/>
        </w:rPr>
        <w:t>.</w:t>
      </w:r>
      <w:r>
        <w:rPr>
          <w:rFonts w:hint="eastAsia" w:ascii="黑体" w:hAnsi="黑体" w:eastAsia="黑体" w:cs="宋体"/>
          <w:bCs/>
          <w:sz w:val="24"/>
        </w:rPr>
        <w:t>由过去的交易或者事项形成的</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_Toc19448 </w:instrText>
      </w:r>
      <w:r>
        <w:rPr>
          <w:rFonts w:hint="eastAsia" w:ascii="黑体" w:hAnsi="黑体" w:eastAsia="黑体" w:cs="宋体"/>
          <w:bCs/>
          <w:sz w:val="24"/>
        </w:rPr>
        <w:fldChar w:fldCharType="separate"/>
      </w:r>
      <w:r>
        <w:rPr>
          <w:rFonts w:hint="eastAsia" w:ascii="黑体" w:hAnsi="黑体" w:eastAsia="黑体" w:cs="宋体"/>
          <w:bCs/>
          <w:sz w:val="24"/>
        </w:rPr>
        <w:t>5</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66898458">
      <w:pPr>
        <w:pStyle w:val="28"/>
        <w:tabs>
          <w:tab w:val="right" w:leader="dot" w:pos="8306"/>
        </w:tabs>
        <w:spacing w:line="360" w:lineRule="auto"/>
        <w:rPr>
          <w:rFonts w:ascii="黑体" w:hAnsi="黑体" w:eastAsia="黑体" w:cs="宋体"/>
          <w:bCs/>
          <w:sz w:val="24"/>
        </w:rPr>
      </w:pPr>
      <w:r>
        <w:fldChar w:fldCharType="begin"/>
      </w:r>
      <w:r>
        <w:instrText xml:space="preserve"> HYPERLINK \l "_Toc27597" </w:instrText>
      </w:r>
      <w:r>
        <w:fldChar w:fldCharType="separate"/>
      </w:r>
      <w:r>
        <w:rPr>
          <w:rFonts w:hint="eastAsia" w:ascii="黑体" w:hAnsi="黑体" w:eastAsia="黑体" w:cs="宋体"/>
          <w:bCs/>
          <w:sz w:val="24"/>
        </w:rPr>
        <w:t>2</w:t>
      </w:r>
      <w:r>
        <w:rPr>
          <w:rFonts w:ascii="黑体" w:hAnsi="黑体" w:eastAsia="黑体" w:cs="宋体"/>
          <w:bCs/>
          <w:sz w:val="24"/>
        </w:rPr>
        <w:t>.</w:t>
      </w:r>
      <w:r>
        <w:rPr>
          <w:rFonts w:hint="eastAsia" w:ascii="黑体" w:hAnsi="黑体" w:eastAsia="黑体" w:cs="宋体"/>
          <w:bCs/>
          <w:sz w:val="24"/>
        </w:rPr>
        <w:t>由企业控制和拥有的资源</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_Toc27597 </w:instrText>
      </w:r>
      <w:r>
        <w:rPr>
          <w:rFonts w:hint="eastAsia" w:ascii="黑体" w:hAnsi="黑体" w:eastAsia="黑体" w:cs="宋体"/>
          <w:bCs/>
          <w:sz w:val="24"/>
        </w:rPr>
        <w:fldChar w:fldCharType="separate"/>
      </w:r>
      <w:r>
        <w:rPr>
          <w:rFonts w:hint="eastAsia" w:ascii="黑体" w:hAnsi="黑体" w:eastAsia="黑体" w:cs="宋体"/>
          <w:bCs/>
          <w:sz w:val="24"/>
        </w:rPr>
        <w:t>5</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44A70CA5">
      <w:pPr>
        <w:pStyle w:val="28"/>
        <w:tabs>
          <w:tab w:val="right" w:leader="dot" w:pos="8306"/>
        </w:tabs>
        <w:spacing w:line="360" w:lineRule="auto"/>
        <w:rPr>
          <w:rFonts w:ascii="黑体" w:hAnsi="黑体" w:eastAsia="黑体" w:cs="宋体"/>
          <w:bCs/>
          <w:sz w:val="24"/>
        </w:rPr>
      </w:pPr>
      <w:r>
        <w:fldChar w:fldCharType="begin"/>
      </w:r>
      <w:r>
        <w:instrText xml:space="preserve"> HYPERLINK \l "_Toc14764" </w:instrText>
      </w:r>
      <w:r>
        <w:fldChar w:fldCharType="separate"/>
      </w:r>
      <w:r>
        <w:rPr>
          <w:rFonts w:hint="eastAsia" w:ascii="黑体" w:hAnsi="黑体" w:eastAsia="黑体" w:cs="宋体"/>
          <w:bCs/>
          <w:sz w:val="24"/>
        </w:rPr>
        <w:t>3</w:t>
      </w:r>
      <w:r>
        <w:rPr>
          <w:rFonts w:ascii="黑体" w:hAnsi="黑体" w:eastAsia="黑体" w:cs="宋体"/>
          <w:bCs/>
          <w:sz w:val="24"/>
        </w:rPr>
        <w:t>.</w:t>
      </w:r>
      <w:r>
        <w:rPr>
          <w:rFonts w:hint="eastAsia" w:ascii="黑体" w:hAnsi="黑体" w:eastAsia="黑体" w:cs="宋体"/>
          <w:bCs/>
          <w:sz w:val="24"/>
        </w:rPr>
        <w:t>可以为企业带来经济利益的流入</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_Toc14764 </w:instrText>
      </w:r>
      <w:r>
        <w:rPr>
          <w:rFonts w:hint="eastAsia" w:ascii="黑体" w:hAnsi="黑体" w:eastAsia="黑体" w:cs="宋体"/>
          <w:bCs/>
          <w:sz w:val="24"/>
        </w:rPr>
        <w:fldChar w:fldCharType="separate"/>
      </w:r>
      <w:r>
        <w:rPr>
          <w:rFonts w:hint="eastAsia" w:ascii="黑体" w:hAnsi="黑体" w:eastAsia="黑体" w:cs="宋体"/>
          <w:bCs/>
          <w:sz w:val="24"/>
        </w:rPr>
        <w:t>6</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579CE643">
      <w:pPr>
        <w:pStyle w:val="28"/>
        <w:tabs>
          <w:tab w:val="right" w:leader="dot" w:pos="8306"/>
        </w:tabs>
        <w:spacing w:line="360" w:lineRule="auto"/>
        <w:rPr>
          <w:rFonts w:ascii="黑体" w:hAnsi="黑体" w:eastAsia="黑体" w:cs="宋体"/>
          <w:bCs/>
          <w:sz w:val="24"/>
        </w:rPr>
      </w:pPr>
      <w:r>
        <w:fldChar w:fldCharType="begin"/>
      </w:r>
      <w:r>
        <w:instrText xml:space="preserve"> HYPERLINK \l "_Toc15715" </w:instrText>
      </w:r>
      <w:r>
        <w:fldChar w:fldCharType="separate"/>
      </w:r>
      <w:r>
        <w:rPr>
          <w:rFonts w:hint="eastAsia" w:ascii="黑体" w:hAnsi="黑体" w:eastAsia="黑体" w:cs="宋体"/>
          <w:bCs/>
          <w:sz w:val="24"/>
        </w:rPr>
        <w:t>4</w:t>
      </w:r>
      <w:r>
        <w:rPr>
          <w:rFonts w:ascii="黑体" w:hAnsi="黑体" w:eastAsia="黑体" w:cs="宋体"/>
          <w:bCs/>
          <w:sz w:val="24"/>
        </w:rPr>
        <w:t>.</w:t>
      </w:r>
      <w:r>
        <w:rPr>
          <w:rFonts w:hint="eastAsia" w:ascii="黑体" w:hAnsi="黑体" w:eastAsia="黑体" w:cs="宋体"/>
          <w:bCs/>
          <w:sz w:val="24"/>
        </w:rPr>
        <w:t>成本能够进行有效计量</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_Toc15715 </w:instrText>
      </w:r>
      <w:r>
        <w:rPr>
          <w:rFonts w:hint="eastAsia" w:ascii="黑体" w:hAnsi="黑体" w:eastAsia="黑体" w:cs="宋体"/>
          <w:bCs/>
          <w:sz w:val="24"/>
        </w:rPr>
        <w:fldChar w:fldCharType="separate"/>
      </w:r>
      <w:r>
        <w:rPr>
          <w:rFonts w:hint="eastAsia" w:ascii="黑体" w:hAnsi="黑体" w:eastAsia="黑体" w:cs="宋体"/>
          <w:bCs/>
          <w:sz w:val="24"/>
        </w:rPr>
        <w:t>6</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393A8DC1">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"_Toc18930" </w:instrText>
      </w:r>
      <w:r>
        <w:fldChar w:fldCharType="separate"/>
      </w:r>
      <w:r>
        <w:rPr>
          <w:rFonts w:hint="eastAsia" w:ascii="黑体" w:hAnsi="黑体" w:eastAsia="黑体" w:cs="宋体"/>
          <w:bCs/>
          <w:sz w:val="24"/>
          <w:szCs w:val="24"/>
        </w:rPr>
        <w:t>（二）用于日常生产情况下确认为无形资产</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_Toc18930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6</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165CF0CB">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"_Toc32284" </w:instrText>
      </w:r>
      <w:r>
        <w:fldChar w:fldCharType="separate"/>
      </w:r>
      <w:r>
        <w:rPr>
          <w:rFonts w:hint="eastAsia" w:ascii="黑体" w:hAnsi="黑体" w:eastAsia="黑体" w:cs="宋体"/>
          <w:bCs/>
          <w:sz w:val="24"/>
          <w:szCs w:val="24"/>
        </w:rPr>
        <w:t>（三）企业用于出售情况下确认为金融资产</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_Toc32284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7</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068E60C2">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"_Toc12621" </w:instrText>
      </w:r>
      <w:r>
        <w:fldChar w:fldCharType="separate"/>
      </w:r>
      <w:r>
        <w:rPr>
          <w:rFonts w:hint="eastAsia" w:ascii="黑体" w:hAnsi="黑体" w:eastAsia="黑体" w:cs="宋体"/>
          <w:bCs/>
          <w:sz w:val="24"/>
          <w:szCs w:val="24"/>
        </w:rPr>
        <w:t>三．基于 CDM 项目的碳排放权的初始计量与后续计量</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_Toc12621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7</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1F22B11E">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"_Toc20764" </w:instrText>
      </w:r>
      <w:r>
        <w:fldChar w:fldCharType="separate"/>
      </w:r>
      <w:r>
        <w:rPr>
          <w:rFonts w:hint="eastAsia" w:ascii="黑体" w:hAnsi="黑体" w:eastAsia="黑体" w:cs="宋体"/>
          <w:bCs/>
          <w:sz w:val="24"/>
          <w:szCs w:val="24"/>
        </w:rPr>
        <w:t>（一）确认为无形资产时碳排放权的计量</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_Toc20764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7</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10F1A00C">
      <w:pPr>
        <w:pStyle w:val="28"/>
        <w:tabs>
          <w:tab w:val="right" w:leader="dot" w:pos="8306"/>
        </w:tabs>
        <w:spacing w:line="360" w:lineRule="auto"/>
        <w:rPr>
          <w:rFonts w:ascii="黑体" w:hAnsi="黑体" w:eastAsia="黑体" w:cs="宋体"/>
          <w:bCs/>
          <w:sz w:val="24"/>
        </w:rPr>
      </w:pPr>
      <w:r>
        <w:fldChar w:fldCharType="begin"/>
      </w:r>
      <w:r>
        <w:instrText xml:space="preserve"> HYPERLINK \l "_Toc3131" </w:instrText>
      </w:r>
      <w:r>
        <w:fldChar w:fldCharType="separate"/>
      </w:r>
      <w:r>
        <w:rPr>
          <w:rFonts w:hint="eastAsia" w:ascii="黑体" w:hAnsi="黑体" w:eastAsia="黑体" w:cs="宋体"/>
          <w:bCs/>
          <w:sz w:val="24"/>
        </w:rPr>
        <w:t>1</w:t>
      </w:r>
      <w:r>
        <w:rPr>
          <w:rFonts w:ascii="黑体" w:hAnsi="黑体" w:eastAsia="黑体" w:cs="宋体"/>
          <w:bCs/>
          <w:sz w:val="24"/>
        </w:rPr>
        <w:t>.</w:t>
      </w:r>
      <w:r>
        <w:rPr>
          <w:rFonts w:hint="eastAsia" w:ascii="黑体" w:hAnsi="黑体" w:eastAsia="黑体" w:cs="宋体"/>
          <w:bCs/>
          <w:sz w:val="24"/>
        </w:rPr>
        <w:t>初始计量</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_Toc3131 </w:instrText>
      </w:r>
      <w:r>
        <w:rPr>
          <w:rFonts w:hint="eastAsia" w:ascii="黑体" w:hAnsi="黑体" w:eastAsia="黑体" w:cs="宋体"/>
          <w:bCs/>
          <w:sz w:val="24"/>
        </w:rPr>
        <w:fldChar w:fldCharType="separate"/>
      </w:r>
      <w:r>
        <w:rPr>
          <w:rFonts w:hint="eastAsia" w:ascii="黑体" w:hAnsi="黑体" w:eastAsia="黑体" w:cs="宋体"/>
          <w:bCs/>
          <w:sz w:val="24"/>
        </w:rPr>
        <w:t>7</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20959F2A">
      <w:pPr>
        <w:pStyle w:val="28"/>
        <w:tabs>
          <w:tab w:val="right" w:leader="dot" w:pos="8306"/>
        </w:tabs>
        <w:spacing w:line="360" w:lineRule="auto"/>
        <w:rPr>
          <w:rFonts w:ascii="黑体" w:hAnsi="黑体" w:eastAsia="黑体" w:cs="宋体"/>
          <w:bCs/>
          <w:sz w:val="24"/>
        </w:rPr>
      </w:pPr>
      <w:r>
        <w:fldChar w:fldCharType="begin"/>
      </w:r>
      <w:r>
        <w:instrText xml:space="preserve"> HYPERLINK \l "_Toc30510" </w:instrText>
      </w:r>
      <w:r>
        <w:fldChar w:fldCharType="separate"/>
      </w:r>
      <w:r>
        <w:rPr>
          <w:rFonts w:hint="eastAsia" w:ascii="黑体" w:hAnsi="黑体" w:eastAsia="黑体" w:cs="宋体"/>
          <w:bCs/>
          <w:sz w:val="24"/>
        </w:rPr>
        <w:t>2</w:t>
      </w:r>
      <w:r>
        <w:rPr>
          <w:rFonts w:ascii="黑体" w:hAnsi="黑体" w:eastAsia="黑体" w:cs="宋体"/>
          <w:bCs/>
          <w:sz w:val="24"/>
        </w:rPr>
        <w:t>.</w:t>
      </w:r>
      <w:r>
        <w:rPr>
          <w:rFonts w:hint="eastAsia" w:ascii="黑体" w:hAnsi="黑体" w:eastAsia="黑体" w:cs="宋体"/>
          <w:bCs/>
          <w:sz w:val="24"/>
        </w:rPr>
        <w:t>后续计量</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_Toc30510 </w:instrText>
      </w:r>
      <w:r>
        <w:rPr>
          <w:rFonts w:hint="eastAsia" w:ascii="黑体" w:hAnsi="黑体" w:eastAsia="黑体" w:cs="宋体"/>
          <w:bCs/>
          <w:sz w:val="24"/>
        </w:rPr>
        <w:fldChar w:fldCharType="separate"/>
      </w:r>
      <w:r>
        <w:rPr>
          <w:rFonts w:hint="eastAsia" w:ascii="黑体" w:hAnsi="黑体" w:eastAsia="黑体" w:cs="宋体"/>
          <w:bCs/>
          <w:sz w:val="24"/>
        </w:rPr>
        <w:t>7</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2707C794">
      <w:pPr>
        <w:pStyle w:val="28"/>
        <w:tabs>
          <w:tab w:val="right" w:leader="dot" w:pos="8306"/>
        </w:tabs>
        <w:spacing w:line="360" w:lineRule="auto"/>
        <w:rPr>
          <w:rFonts w:ascii="黑体" w:hAnsi="黑体" w:eastAsia="黑体" w:cs="宋体"/>
          <w:bCs/>
          <w:sz w:val="24"/>
        </w:rPr>
      </w:pPr>
      <w:r>
        <w:fldChar w:fldCharType="begin"/>
      </w:r>
      <w:r>
        <w:instrText xml:space="preserve"> HYPERLINK \l "_Toc23953" </w:instrText>
      </w:r>
      <w:r>
        <w:fldChar w:fldCharType="separate"/>
      </w:r>
      <w:r>
        <w:rPr>
          <w:rFonts w:hint="eastAsia" w:ascii="黑体" w:hAnsi="黑体" w:eastAsia="黑体" w:cs="宋体"/>
          <w:bCs/>
          <w:sz w:val="24"/>
        </w:rPr>
        <w:t>3</w:t>
      </w:r>
      <w:r>
        <w:rPr>
          <w:rFonts w:ascii="黑体" w:hAnsi="黑体" w:eastAsia="黑体" w:cs="宋体"/>
          <w:bCs/>
          <w:sz w:val="24"/>
        </w:rPr>
        <w:t>.</w:t>
      </w:r>
      <w:r>
        <w:rPr>
          <w:rFonts w:hint="eastAsia" w:ascii="黑体" w:hAnsi="黑体" w:eastAsia="黑体" w:cs="宋体"/>
          <w:bCs/>
          <w:sz w:val="24"/>
        </w:rPr>
        <w:t>分配的具体比例</w:t>
      </w:r>
      <w:r>
        <w:rPr>
          <w:rFonts w:hint="eastAsia" w:ascii="黑体" w:hAnsi="黑体" w:eastAsia="黑体" w:cs="宋体"/>
          <w:bCs/>
          <w:sz w:val="24"/>
        </w:rPr>
        <w:tab/>
      </w:r>
      <w:r>
        <w:rPr>
          <w:rFonts w:hint="eastAsia" w:ascii="黑体" w:hAnsi="黑体" w:eastAsia="黑体" w:cs="宋体"/>
          <w:bCs/>
          <w:sz w:val="24"/>
        </w:rPr>
        <w:t>8</w:t>
      </w:r>
      <w:r>
        <w:rPr>
          <w:rFonts w:hint="eastAsia" w:ascii="黑体" w:hAnsi="黑体" w:eastAsia="黑体" w:cs="宋体"/>
          <w:bCs/>
          <w:sz w:val="24"/>
        </w:rPr>
        <w:fldChar w:fldCharType="end"/>
      </w:r>
    </w:p>
    <w:p w14:paraId="708050E1">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"_Toc36" </w:instrText>
      </w:r>
      <w:r>
        <w:fldChar w:fldCharType="separate"/>
      </w:r>
      <w:r>
        <w:rPr>
          <w:rFonts w:hint="eastAsia" w:ascii="黑体" w:hAnsi="黑体" w:eastAsia="黑体" w:cs="宋体"/>
          <w:bCs/>
          <w:sz w:val="24"/>
          <w:szCs w:val="24"/>
        </w:rPr>
        <w:t>（二）确认为金融资产时碳排放权的计量</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_Toc36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8</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05ABB8F5">
      <w:pPr>
        <w:pStyle w:val="28"/>
        <w:tabs>
          <w:tab w:val="right" w:leader="dot" w:pos="8306"/>
        </w:tabs>
        <w:spacing w:line="360" w:lineRule="auto"/>
        <w:rPr>
          <w:rFonts w:ascii="黑体" w:hAnsi="黑体" w:eastAsia="黑体" w:cs="宋体"/>
          <w:bCs/>
          <w:sz w:val="24"/>
        </w:rPr>
      </w:pPr>
      <w:r>
        <w:fldChar w:fldCharType="begin"/>
      </w:r>
      <w:r>
        <w:instrText xml:space="preserve"> HYPERLINK \l "_Toc29929" </w:instrText>
      </w:r>
      <w:r>
        <w:fldChar w:fldCharType="separate"/>
      </w:r>
      <w:r>
        <w:rPr>
          <w:rFonts w:hint="eastAsia" w:ascii="黑体" w:hAnsi="黑体" w:eastAsia="黑体" w:cs="宋体"/>
          <w:bCs/>
          <w:sz w:val="24"/>
        </w:rPr>
        <w:t>1</w:t>
      </w:r>
      <w:r>
        <w:rPr>
          <w:rFonts w:ascii="黑体" w:hAnsi="黑体" w:eastAsia="黑体" w:cs="宋体"/>
          <w:bCs/>
          <w:sz w:val="24"/>
        </w:rPr>
        <w:t>.</w:t>
      </w:r>
      <w:r>
        <w:rPr>
          <w:rFonts w:hint="eastAsia" w:ascii="黑体" w:hAnsi="黑体" w:eastAsia="黑体" w:cs="宋体"/>
          <w:bCs/>
          <w:sz w:val="24"/>
        </w:rPr>
        <w:t>账户设置</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_Toc29929 </w:instrText>
      </w:r>
      <w:r>
        <w:rPr>
          <w:rFonts w:hint="eastAsia" w:ascii="黑体" w:hAnsi="黑体" w:eastAsia="黑体" w:cs="宋体"/>
          <w:bCs/>
          <w:sz w:val="24"/>
        </w:rPr>
        <w:fldChar w:fldCharType="separate"/>
      </w:r>
      <w:r>
        <w:rPr>
          <w:rFonts w:hint="eastAsia" w:ascii="黑体" w:hAnsi="黑体" w:eastAsia="黑体" w:cs="宋体"/>
          <w:bCs/>
          <w:sz w:val="24"/>
        </w:rPr>
        <w:t>8</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27E3542A">
      <w:pPr>
        <w:pStyle w:val="28"/>
        <w:tabs>
          <w:tab w:val="right" w:leader="dot" w:pos="8306"/>
        </w:tabs>
        <w:spacing w:line="360" w:lineRule="auto"/>
        <w:rPr>
          <w:rFonts w:ascii="黑体" w:hAnsi="黑体" w:eastAsia="黑体" w:cs="宋体"/>
          <w:bCs/>
          <w:sz w:val="24"/>
        </w:rPr>
      </w:pPr>
      <w:r>
        <w:fldChar w:fldCharType="begin"/>
      </w:r>
      <w:r>
        <w:instrText xml:space="preserve"> HYPERLINK \l "_Toc10259" </w:instrText>
      </w:r>
      <w:r>
        <w:fldChar w:fldCharType="separate"/>
      </w:r>
      <w:r>
        <w:rPr>
          <w:rFonts w:hint="eastAsia" w:ascii="黑体" w:hAnsi="黑体" w:eastAsia="黑体" w:cs="宋体"/>
          <w:bCs/>
          <w:sz w:val="24"/>
        </w:rPr>
        <w:t>2</w:t>
      </w:r>
      <w:r>
        <w:rPr>
          <w:rFonts w:ascii="黑体" w:hAnsi="黑体" w:eastAsia="黑体" w:cs="宋体"/>
          <w:bCs/>
          <w:sz w:val="24"/>
        </w:rPr>
        <w:t>.</w:t>
      </w:r>
      <w:r>
        <w:rPr>
          <w:rFonts w:hint="eastAsia" w:ascii="黑体" w:hAnsi="黑体" w:eastAsia="黑体" w:cs="宋体"/>
          <w:bCs/>
          <w:sz w:val="24"/>
        </w:rPr>
        <w:t>初始计量</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_Toc10259 </w:instrText>
      </w:r>
      <w:r>
        <w:rPr>
          <w:rFonts w:hint="eastAsia" w:ascii="黑体" w:hAnsi="黑体" w:eastAsia="黑体" w:cs="宋体"/>
          <w:bCs/>
          <w:sz w:val="24"/>
        </w:rPr>
        <w:fldChar w:fldCharType="separate"/>
      </w:r>
      <w:r>
        <w:rPr>
          <w:rFonts w:hint="eastAsia" w:ascii="黑体" w:hAnsi="黑体" w:eastAsia="黑体" w:cs="宋体"/>
          <w:bCs/>
          <w:sz w:val="24"/>
        </w:rPr>
        <w:t>8</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57209BD5">
      <w:pPr>
        <w:pStyle w:val="28"/>
        <w:tabs>
          <w:tab w:val="right" w:leader="dot" w:pos="8306"/>
        </w:tabs>
        <w:spacing w:line="360" w:lineRule="auto"/>
        <w:rPr>
          <w:rFonts w:ascii="黑体" w:hAnsi="黑体" w:eastAsia="黑体" w:cs="宋体"/>
          <w:bCs/>
          <w:sz w:val="24"/>
        </w:rPr>
      </w:pPr>
      <w:r>
        <w:fldChar w:fldCharType="begin"/>
      </w:r>
      <w:r>
        <w:instrText xml:space="preserve"> HYPERLINK \l "_Toc9562" </w:instrText>
      </w:r>
      <w:r>
        <w:fldChar w:fldCharType="separate"/>
      </w:r>
      <w:r>
        <w:rPr>
          <w:rFonts w:hint="eastAsia" w:ascii="黑体" w:hAnsi="黑体" w:eastAsia="黑体" w:cs="宋体"/>
          <w:bCs/>
          <w:sz w:val="24"/>
        </w:rPr>
        <w:t>3</w:t>
      </w:r>
      <w:r>
        <w:rPr>
          <w:rFonts w:ascii="黑体" w:hAnsi="黑体" w:eastAsia="黑体" w:cs="宋体"/>
          <w:bCs/>
          <w:sz w:val="24"/>
        </w:rPr>
        <w:t>.</w:t>
      </w:r>
      <w:r>
        <w:rPr>
          <w:rFonts w:hint="eastAsia" w:ascii="黑体" w:hAnsi="黑体" w:eastAsia="黑体" w:cs="宋体"/>
          <w:bCs/>
          <w:sz w:val="24"/>
        </w:rPr>
        <w:t>后续计量</w:t>
      </w:r>
      <w:r>
        <w:rPr>
          <w:rFonts w:hint="eastAsia" w:ascii="黑体" w:hAnsi="黑体" w:eastAsia="黑体" w:cs="宋体"/>
          <w:bCs/>
          <w:sz w:val="24"/>
        </w:rPr>
        <w:tab/>
      </w:r>
      <w:r>
        <w:rPr>
          <w:rFonts w:hint="eastAsia" w:ascii="黑体" w:hAnsi="黑体" w:eastAsia="黑体" w:cs="宋体"/>
          <w:bCs/>
          <w:sz w:val="24"/>
        </w:rPr>
        <w:fldChar w:fldCharType="begin"/>
      </w:r>
      <w:r>
        <w:rPr>
          <w:rFonts w:hint="eastAsia" w:ascii="黑体" w:hAnsi="黑体" w:eastAsia="黑体" w:cs="宋体"/>
          <w:bCs/>
          <w:sz w:val="24"/>
        </w:rPr>
        <w:instrText xml:space="preserve"> PAGEREF _Toc9562 </w:instrText>
      </w:r>
      <w:r>
        <w:rPr>
          <w:rFonts w:hint="eastAsia" w:ascii="黑体" w:hAnsi="黑体" w:eastAsia="黑体" w:cs="宋体"/>
          <w:bCs/>
          <w:sz w:val="24"/>
        </w:rPr>
        <w:fldChar w:fldCharType="separate"/>
      </w:r>
      <w:r>
        <w:rPr>
          <w:rFonts w:hint="eastAsia" w:ascii="黑体" w:hAnsi="黑体" w:eastAsia="黑体" w:cs="宋体"/>
          <w:bCs/>
          <w:sz w:val="24"/>
        </w:rPr>
        <w:t>8</w:t>
      </w:r>
      <w:r>
        <w:rPr>
          <w:rFonts w:hint="eastAsia" w:ascii="黑体" w:hAnsi="黑体" w:eastAsia="黑体" w:cs="宋体"/>
          <w:bCs/>
          <w:sz w:val="24"/>
        </w:rPr>
        <w:fldChar w:fldCharType="end"/>
      </w:r>
      <w:r>
        <w:rPr>
          <w:rFonts w:hint="eastAsia" w:ascii="黑体" w:hAnsi="黑体" w:eastAsia="黑体" w:cs="宋体"/>
          <w:bCs/>
          <w:sz w:val="24"/>
        </w:rPr>
        <w:fldChar w:fldCharType="end"/>
      </w:r>
    </w:p>
    <w:p w14:paraId="19072CA6">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"_Toc18341" </w:instrText>
      </w:r>
      <w:r>
        <w:fldChar w:fldCharType="separate"/>
      </w:r>
      <w:r>
        <w:rPr>
          <w:rFonts w:hint="eastAsia" w:ascii="黑体" w:hAnsi="黑体" w:eastAsia="黑体" w:cs="宋体"/>
          <w:bCs/>
          <w:sz w:val="24"/>
          <w:szCs w:val="24"/>
        </w:rPr>
        <w:t>（三）具体操作举例</w:t>
      </w:r>
      <w:r>
        <w:rPr>
          <w:rFonts w:hint="eastAsia" w:ascii="黑体" w:hAnsi="黑体" w:eastAsia="黑体" w:cs="宋体"/>
          <w:bCs/>
          <w:sz w:val="24"/>
          <w:szCs w:val="24"/>
        </w:rPr>
        <w:tab/>
      </w:r>
      <w:r>
        <w:rPr>
          <w:rFonts w:hint="eastAsia" w:ascii="黑体" w:hAnsi="黑体" w:eastAsia="黑体" w:cs="宋体"/>
          <w:bCs/>
          <w:sz w:val="24"/>
          <w:szCs w:val="24"/>
        </w:rPr>
        <w:t>9</w:t>
      </w:r>
      <w:r>
        <w:rPr>
          <w:rFonts w:hint="eastAsia" w:ascii="黑体" w:hAnsi="黑体" w:eastAsia="黑体" w:cs="宋体"/>
          <w:bCs/>
          <w:sz w:val="24"/>
          <w:szCs w:val="24"/>
        </w:rPr>
        <w:fldChar w:fldCharType="end"/>
      </w:r>
    </w:p>
    <w:p w14:paraId="43488FDB">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"_Toc14095" </w:instrText>
      </w:r>
      <w:r>
        <w:fldChar w:fldCharType="separate"/>
      </w:r>
      <w:r>
        <w:rPr>
          <w:rFonts w:hint="eastAsia" w:ascii="黑体" w:hAnsi="黑体" w:eastAsia="黑体" w:cs="宋体"/>
          <w:bCs/>
          <w:sz w:val="24"/>
          <w:szCs w:val="24"/>
        </w:rPr>
        <w:t>四、基于 CDM 项目的碳排放权会计信息的披露</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_Toc14095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10</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51C39D33">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"_Toc14302" </w:instrText>
      </w:r>
      <w:r>
        <w:fldChar w:fldCharType="separate"/>
      </w:r>
      <w:r>
        <w:rPr>
          <w:rFonts w:hint="eastAsia" w:ascii="黑体" w:hAnsi="黑体" w:eastAsia="黑体" w:cs="宋体"/>
          <w:bCs/>
          <w:sz w:val="24"/>
          <w:szCs w:val="24"/>
        </w:rPr>
        <w:t>（一）碳排放权交易会计信息披露原则</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_Toc14302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10</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587282CB">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"_Toc19705" </w:instrText>
      </w:r>
      <w:r>
        <w:fldChar w:fldCharType="separate"/>
      </w:r>
      <w:r>
        <w:rPr>
          <w:rFonts w:hint="eastAsia" w:ascii="黑体" w:hAnsi="黑体" w:eastAsia="黑体" w:cs="宋体"/>
          <w:bCs/>
          <w:sz w:val="24"/>
          <w:szCs w:val="24"/>
        </w:rPr>
        <w:t>（二）碳排放权交易信息的披露方式</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_Toc19705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11</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3C109AB6">
      <w:pPr>
        <w:pStyle w:val="28"/>
        <w:tabs>
          <w:tab w:val="right" w:leader="dot" w:pos="8306"/>
        </w:tabs>
        <w:spacing w:after="0" w:line="360" w:lineRule="auto"/>
        <w:rPr>
          <w:rFonts w:ascii="黑体" w:hAnsi="黑体" w:eastAsia="黑体" w:cs="宋体"/>
          <w:bCs/>
          <w:sz w:val="24"/>
          <w:szCs w:val="24"/>
        </w:rPr>
      </w:pPr>
      <w:r>
        <w:fldChar w:fldCharType="begin"/>
      </w:r>
      <w:r>
        <w:instrText xml:space="preserve"> HYPERLINK \l "_Toc14095" </w:instrText>
      </w:r>
      <w:r>
        <w:fldChar w:fldCharType="separate"/>
      </w:r>
      <w:r>
        <w:rPr>
          <w:rFonts w:hint="eastAsia" w:ascii="黑体" w:hAnsi="黑体" w:eastAsia="黑体" w:cs="宋体"/>
          <w:bCs/>
          <w:sz w:val="24"/>
          <w:szCs w:val="24"/>
        </w:rPr>
        <w:t>五、结论</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_Toc14095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12</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640C0059">
      <w:pPr>
        <w:pStyle w:val="28"/>
        <w:tabs>
          <w:tab w:val="right" w:leader="dot" w:pos="8306"/>
        </w:tabs>
        <w:spacing w:after="0" w:line="360" w:lineRule="auto"/>
        <w:rPr>
          <w:rFonts w:ascii="宋体" w:hAnsi="宋体" w:cs="宋体"/>
          <w:bCs/>
          <w:sz w:val="24"/>
          <w:szCs w:val="24"/>
        </w:rPr>
      </w:pPr>
      <w:r>
        <w:fldChar w:fldCharType="begin"/>
      </w:r>
      <w:r>
        <w:instrText xml:space="preserve"> HYPERLINK \l "_Toc26959" </w:instrText>
      </w:r>
      <w:r>
        <w:fldChar w:fldCharType="separate"/>
      </w:r>
      <w:r>
        <w:rPr>
          <w:rFonts w:hint="eastAsia" w:ascii="黑体" w:hAnsi="黑体" w:eastAsia="黑体" w:cs="宋体"/>
          <w:bCs/>
          <w:sz w:val="24"/>
          <w:szCs w:val="24"/>
        </w:rPr>
        <w:t>参考文献</w:t>
      </w:r>
      <w:r>
        <w:rPr>
          <w:rFonts w:hint="eastAsia" w:ascii="黑体" w:hAnsi="黑体" w:eastAsia="黑体" w:cs="宋体"/>
          <w:bCs/>
          <w:sz w:val="24"/>
          <w:szCs w:val="24"/>
        </w:rPr>
        <w:tab/>
      </w:r>
      <w:r>
        <w:rPr>
          <w:rFonts w:hint="eastAsia" w:ascii="黑体" w:hAnsi="黑体" w:eastAsia="黑体" w:cs="宋体"/>
          <w:bCs/>
          <w:sz w:val="24"/>
          <w:szCs w:val="24"/>
        </w:rPr>
        <w:fldChar w:fldCharType="begin"/>
      </w:r>
      <w:r>
        <w:rPr>
          <w:rFonts w:hint="eastAsia" w:ascii="黑体" w:hAnsi="黑体" w:eastAsia="黑体" w:cs="宋体"/>
          <w:bCs/>
          <w:sz w:val="24"/>
          <w:szCs w:val="24"/>
        </w:rPr>
        <w:instrText xml:space="preserve"> PAGEREF _Toc26959 </w:instrText>
      </w:r>
      <w:r>
        <w:rPr>
          <w:rFonts w:hint="eastAsia" w:ascii="黑体" w:hAnsi="黑体" w:eastAsia="黑体" w:cs="宋体"/>
          <w:bCs/>
          <w:sz w:val="24"/>
          <w:szCs w:val="24"/>
        </w:rPr>
        <w:fldChar w:fldCharType="separate"/>
      </w:r>
      <w:r>
        <w:rPr>
          <w:rFonts w:hint="eastAsia" w:ascii="黑体" w:hAnsi="黑体" w:eastAsia="黑体" w:cs="宋体"/>
          <w:bCs/>
          <w:sz w:val="24"/>
          <w:szCs w:val="24"/>
        </w:rPr>
        <w:t>12</w:t>
      </w:r>
      <w:r>
        <w:rPr>
          <w:rFonts w:hint="eastAsia" w:ascii="黑体" w:hAnsi="黑体" w:eastAsia="黑体" w:cs="宋体"/>
          <w:bCs/>
          <w:sz w:val="24"/>
          <w:szCs w:val="24"/>
        </w:rPr>
        <w:fldChar w:fldCharType="end"/>
      </w:r>
      <w:r>
        <w:rPr>
          <w:rFonts w:hint="eastAsia" w:ascii="黑体" w:hAnsi="黑体" w:eastAsia="黑体" w:cs="宋体"/>
          <w:bCs/>
          <w:sz w:val="24"/>
          <w:szCs w:val="24"/>
        </w:rPr>
        <w:fldChar w:fldCharType="end"/>
      </w:r>
    </w:p>
    <w:p w14:paraId="3B763411">
      <w:pPr>
        <w:snapToGrid w:val="0"/>
        <w:spacing w:line="360" w:lineRule="auto"/>
        <w:jc w:val="center"/>
        <w:outlineLvl w:val="0"/>
        <w:rPr>
          <w:rFonts w:ascii="宋体" w:hAnsi="宋体" w:cs="宋体"/>
          <w:bCs/>
          <w:kern w:val="0"/>
          <w:sz w:val="24"/>
        </w:rPr>
      </w:pPr>
      <w:r>
        <w:rPr>
          <w:rFonts w:hint="eastAsia" w:ascii="宋体" w:hAnsi="宋体" w:cs="宋体"/>
          <w:bCs/>
          <w:kern w:val="0"/>
          <w:sz w:val="24"/>
        </w:rPr>
        <w:fldChar w:fldCharType="end"/>
      </w:r>
    </w:p>
    <w:p w14:paraId="40B852EE">
      <w:pPr>
        <w:snapToGrid w:val="0"/>
        <w:jc w:val="center"/>
        <w:outlineLvl w:val="0"/>
        <w:rPr>
          <w:rFonts w:ascii="黑体" w:hAnsi="黑体" w:eastAsia="黑体" w:cs="黑体"/>
          <w:b/>
          <w:bCs/>
          <w:sz w:val="36"/>
          <w:szCs w:val="36"/>
        </w:rPr>
      </w:pPr>
      <w:commentRangeStart w:id="12"/>
      <w:r>
        <w:rPr>
          <w:rFonts w:hint="eastAsia" w:ascii="黑体" w:hAnsi="黑体" w:eastAsia="黑体" w:cs="黑体"/>
          <w:b/>
          <w:bCs/>
          <w:sz w:val="36"/>
          <w:szCs w:val="36"/>
        </w:rPr>
        <w:t>摘 要</w:t>
      </w:r>
      <w:commentRangeEnd w:id="12"/>
      <w:r>
        <w:rPr>
          <w:rStyle w:val="16"/>
        </w:rPr>
        <w:commentReference w:id="12"/>
      </w:r>
    </w:p>
    <w:p w14:paraId="7A525DBB">
      <w:pPr>
        <w:snapToGrid w:val="0"/>
        <w:jc w:val="center"/>
        <w:outlineLvl w:val="0"/>
        <w:rPr>
          <w:rFonts w:ascii="黑体" w:hAnsi="黑体" w:eastAsia="黑体" w:cs="黑体"/>
          <w:b/>
          <w:bCs/>
          <w:sz w:val="36"/>
          <w:szCs w:val="36"/>
        </w:rPr>
      </w:pPr>
    </w:p>
    <w:p w14:paraId="44E2D701">
      <w:pPr>
        <w:ind w:firstLine="560" w:firstLineChars="200"/>
        <w:outlineLvl w:val="0"/>
        <w:rPr>
          <w:rFonts w:ascii="宋体" w:hAnsi="宋体" w:cs="宋体"/>
          <w:sz w:val="28"/>
          <w:szCs w:val="28"/>
        </w:rPr>
      </w:pPr>
      <w:r>
        <w:rPr>
          <w:rFonts w:hint="eastAsia" w:ascii="宋体" w:hAnsi="宋体" w:cs="宋体"/>
          <w:sz w:val="28"/>
          <w:szCs w:val="28"/>
        </w:rPr>
        <w:t>近年来，我国不断通过清洁发展机制（CDM）参与到碳排放权市场交易活动中。在这个过程中，我国的实体经济企业已经替碳市场创造大量的碳减排额，并从中取得了额外的收入。但中国现行的会计准则体系并没有对有关碳排放权交易的确认以及计量等会计处理及信息披露作出详细的说明。文章初步探讨了基于CDM项目的碳排放权的相关会计处理问题。文章首先对CDM项目的原始碳排放进行概述，其次对基于CDM项目的碳排放权的性质进行剖析，说明了会计要素的确认，并在此基础上阐述了碳排放权的初始计量和后续计量，最后还分析了碳排放权会计信息披露的相关问题。</w:t>
      </w:r>
    </w:p>
    <w:p w14:paraId="4D5F15CF">
      <w:pPr>
        <w:ind w:firstLine="560" w:firstLineChars="200"/>
        <w:outlineLvl w:val="0"/>
        <w:rPr>
          <w:rFonts w:ascii="宋体" w:hAnsi="宋体" w:cs="宋体"/>
          <w:sz w:val="28"/>
          <w:szCs w:val="28"/>
        </w:rPr>
      </w:pPr>
    </w:p>
    <w:p w14:paraId="53D474DF">
      <w:pPr>
        <w:ind w:firstLine="560" w:firstLineChars="200"/>
        <w:rPr>
          <w:sz w:val="24"/>
        </w:rPr>
        <w:sectPr>
          <w:footerReference r:id="rId7" w:type="default"/>
          <w:footnotePr>
            <w:numFmt w:val="decimalEnclosedCircleChinese"/>
          </w:footnotePr>
          <w:pgSz w:w="11906" w:h="16838"/>
          <w:pgMar w:top="1440" w:right="1800" w:bottom="1440" w:left="1800" w:header="851" w:footer="992" w:gutter="0"/>
          <w:pgNumType w:start="1"/>
          <w:cols w:space="720" w:num="1"/>
          <w:docGrid w:type="lines" w:linePitch="312" w:charSpace="0"/>
        </w:sectPr>
      </w:pPr>
      <w:commentRangeStart w:id="13"/>
      <w:r>
        <w:rPr>
          <w:rFonts w:hint="eastAsia" w:ascii="黑体" w:hAnsi="黑体" w:eastAsia="黑体" w:cs="黑体"/>
          <w:sz w:val="28"/>
          <w:szCs w:val="28"/>
        </w:rPr>
        <w:t>关键词：</w:t>
      </w:r>
      <w:r>
        <w:rPr>
          <w:rFonts w:ascii="宋体" w:hAnsi="宋体"/>
          <w:sz w:val="28"/>
          <w:szCs w:val="28"/>
        </w:rPr>
        <w:t>碳排放权；碳会计；CDM 项目</w:t>
      </w:r>
      <w:r>
        <w:rPr>
          <w:rFonts w:hint="eastAsia" w:ascii="宋体" w:hAnsi="宋体"/>
          <w:sz w:val="28"/>
          <w:szCs w:val="28"/>
        </w:rPr>
        <w:t>；</w:t>
      </w:r>
      <w:r>
        <w:rPr>
          <w:rFonts w:ascii="宋体" w:hAnsi="宋体"/>
          <w:sz w:val="28"/>
          <w:szCs w:val="28"/>
        </w:rPr>
        <w:t>会计处理</w:t>
      </w:r>
      <w:commentRangeEnd w:id="13"/>
      <w:r>
        <w:rPr>
          <w:rStyle w:val="16"/>
        </w:rPr>
        <w:commentReference w:id="13"/>
      </w:r>
    </w:p>
    <w:p w14:paraId="18948494">
      <w:pPr>
        <w:spacing w:line="360" w:lineRule="auto"/>
        <w:ind w:firstLine="480" w:firstLineChars="200"/>
        <w:rPr>
          <w:rFonts w:ascii="宋体" w:hAnsi="宋体" w:cs="宋体"/>
          <w:sz w:val="24"/>
        </w:rPr>
      </w:pPr>
      <w:r>
        <w:rPr>
          <w:rFonts w:hint="eastAsia" w:ascii="宋体" w:hAnsi="宋体" w:cs="宋体"/>
          <w:sz w:val="24"/>
        </w:rPr>
        <w:t>为了能减轻全球气候变暖的情况，1997年84国在日本京都签署了《京都议定书》（KP），条约对发达国家的温室气体减排量化方针有明文规定。KP 规定了三种温室气体减排的国际合作机制，清洁发展机制（CDM）、联合履行机制（JI）和国际排放贸易（IET）。清洁发展机制创设了发展中国家和发达国家之间的碳减排交易市场，联合履行机制和国际排放贸易创设了发达国家之间的碳减排交易市场，以上灵活的温室气体减排机制成立了使得国际碳交易市场得到迅速发展。CDM 的主要内容是，需要有强制减排要求的发达国家提供先进技术设备和资金，在发展中国家境内联合实行可以延缓气候变暖的减排项目，因此取得“核准减排量”（CER），达成其在 KP 中所作出的减排承诺。</w:t>
      </w:r>
    </w:p>
    <w:p w14:paraId="14AED505">
      <w:pPr>
        <w:spacing w:line="360" w:lineRule="auto"/>
        <w:ind w:firstLine="480" w:firstLineChars="200"/>
        <w:rPr>
          <w:rFonts w:ascii="宋体" w:hAnsi="宋体" w:cs="宋体"/>
          <w:sz w:val="24"/>
        </w:rPr>
      </w:pPr>
      <w:r>
        <w:rPr>
          <w:rFonts w:hint="eastAsia" w:ascii="宋体" w:hAnsi="宋体" w:cs="宋体"/>
          <w:sz w:val="24"/>
        </w:rPr>
        <w:t>碳减排义务针对的是发达国家，而作为发展中国家的一员，中国不具有强制减排义务，因此碳排放权其实是中国的企业与发达国家之间的合作。通过 CDM 项目产生的 CERs 与有需按照具有强制减排义务企业的碳排放权在本质上有所不同，因此我国通常称“碳排放权”为“碳减排量”。</w:t>
      </w:r>
      <w:commentRangeStart w:id="14"/>
      <w:r>
        <w:rPr>
          <w:rFonts w:hint="eastAsia" w:ascii="宋体" w:hAnsi="宋体" w:cs="宋体"/>
          <w:sz w:val="24"/>
        </w:rPr>
        <w:t>截至 2012 年10 月17日，全球共注册 CDM 项目 4 777个，其中中国注册 2 431个，中国获签发CERs 吨数占东道国 CDM 项目签发总量的 59.91%。</w:t>
      </w:r>
      <w:commentRangeEnd w:id="14"/>
      <w:r>
        <w:rPr>
          <w:rStyle w:val="16"/>
        </w:rPr>
        <w:commentReference w:id="14"/>
      </w:r>
      <w:r>
        <w:rPr>
          <w:rStyle w:val="17"/>
          <w:rFonts w:ascii="宋体" w:hAnsi="宋体" w:cs="宋体"/>
          <w:sz w:val="24"/>
        </w:rPr>
        <w:footnoteReference w:id="2"/>
      </w:r>
      <w:r>
        <w:rPr>
          <w:rFonts w:hint="eastAsia" w:ascii="宋体" w:hAnsi="宋体" w:cs="宋体"/>
          <w:sz w:val="24"/>
        </w:rPr>
        <w:t>同年，多哈气候变化会议确定了发达国家需继续承担强制减排义务为期8年的 KP 第二承诺期（2013—2020 年），同时也意味着中国在 2020 年之前不需要进行强制减排，通过 CDM 项目产生的CERs 仍是中国目前国内碳减排量的主要交易产品，所以对中国 CDM 项目下碳减排量会计处理的了解和分析具有积极的现实操作意义。</w:t>
      </w:r>
    </w:p>
    <w:p w14:paraId="122EDD96">
      <w:pPr>
        <w:spacing w:before="480" w:after="480"/>
        <w:outlineLvl w:val="0"/>
        <w:rPr>
          <w:rFonts w:ascii="黑体" w:hAnsi="黑体" w:eastAsia="黑体"/>
          <w:b/>
          <w:bCs/>
          <w:sz w:val="36"/>
          <w:szCs w:val="36"/>
        </w:rPr>
      </w:pPr>
      <w:commentRangeStart w:id="15"/>
      <w:r>
        <w:rPr>
          <w:rFonts w:ascii="黑体" w:hAnsi="黑体" w:eastAsia="黑体"/>
          <w:b/>
          <w:bCs/>
          <w:sz w:val="36"/>
          <w:szCs w:val="36"/>
        </w:rPr>
        <w:t>一、基于 CDM 项目的原始碳排放权概述</w:t>
      </w:r>
      <w:commentRangeEnd w:id="15"/>
      <w:r>
        <w:rPr>
          <w:rStyle w:val="16"/>
        </w:rPr>
        <w:commentReference w:id="15"/>
      </w:r>
    </w:p>
    <w:p w14:paraId="2AF782E2">
      <w:pPr>
        <w:spacing w:before="360" w:after="360"/>
        <w:outlineLvl w:val="1"/>
        <w:rPr>
          <w:rFonts w:ascii="黑体" w:hAnsi="黑体" w:eastAsia="黑体"/>
          <w:b/>
          <w:sz w:val="30"/>
          <w:szCs w:val="30"/>
        </w:rPr>
      </w:pPr>
      <w:commentRangeStart w:id="16"/>
      <w:r>
        <w:rPr>
          <w:rFonts w:ascii="黑体" w:hAnsi="黑体" w:eastAsia="黑体"/>
          <w:b/>
          <w:sz w:val="30"/>
          <w:szCs w:val="30"/>
        </w:rPr>
        <w:t>（一）碳排放权交易</w:t>
      </w:r>
      <w:commentRangeEnd w:id="16"/>
      <w:r>
        <w:rPr>
          <w:rStyle w:val="16"/>
        </w:rPr>
        <w:commentReference w:id="16"/>
      </w:r>
    </w:p>
    <w:p w14:paraId="7464E533">
      <w:pPr>
        <w:spacing w:line="360" w:lineRule="auto"/>
        <w:ind w:firstLine="480" w:firstLineChars="200"/>
        <w:rPr>
          <w:rFonts w:ascii="宋体" w:hAnsi="宋体" w:cs="宋体"/>
          <w:sz w:val="24"/>
        </w:rPr>
      </w:pPr>
      <w:commentRangeStart w:id="17"/>
      <w:r>
        <w:rPr>
          <w:rFonts w:hint="eastAsia" w:ascii="宋体" w:hAnsi="宋体" w:cs="宋体"/>
          <w:sz w:val="24"/>
        </w:rPr>
        <w:t>在发达国家企业的眼中，碳排放权是作为一种可交易的商品存在的。就拿美国的花旗银行作为例子，其在碳排放权市场交易中就是习惯将碳排放权作为商品与其它企业进行交易。在这些减排单位进行交易的碳排放权交易市场其实就是一</w:t>
      </w:r>
      <w:commentRangeEnd w:id="17"/>
      <w:r>
        <w:rPr>
          <w:rStyle w:val="16"/>
        </w:rPr>
        <w:commentReference w:id="17"/>
      </w:r>
      <w:r>
        <w:rPr>
          <w:rFonts w:hint="eastAsia" w:ascii="宋体" w:hAnsi="宋体" w:cs="宋体"/>
          <w:sz w:val="24"/>
        </w:rPr>
        <w:t>种与现实的商品交易市场很类似的交易市场，原因是数额巨大的碳排放权能在这种市场中自由地交易流通，同时持有者所拥有的碳排放权往往是以出售作为目的，因此对市场供求关系的价格造成严重影响。</w:t>
      </w:r>
    </w:p>
    <w:p w14:paraId="5DB9D235">
      <w:pPr>
        <w:spacing w:line="360" w:lineRule="auto"/>
        <w:ind w:firstLine="480" w:firstLineChars="200"/>
        <w:rPr>
          <w:rFonts w:ascii="宋体" w:hAnsi="宋体" w:cs="宋体"/>
          <w:sz w:val="24"/>
        </w:rPr>
      </w:pPr>
      <w:r>
        <w:rPr>
          <w:rFonts w:hint="eastAsia" w:ascii="宋体" w:hAnsi="宋体" w:cs="宋体"/>
          <w:sz w:val="24"/>
        </w:rPr>
        <w:t>对于现实中存在的商品交易市场，能同时存在于该市场的商品必然具有相同的属性。可是在不同的碳排放权交易市场中，其所采用的交易制度不尽相同的，这种制度上的不同导致其核算标准等都发生了不同，进而使得碳排放权呈现出不同的属性。作为一种权利，碳排放权从其本质属性上而言理应相同，应当在统一市场上进行流通。但在现实的实践中，我们是将这些碳排放权划分到不同的碳排放权交易市场上进行流通，而且一旦划分完毕，该碳排放权只能存在于与之相对应的市场上，在该市场所特有的交易制度下进行流通。于是乎这种情况造成了交易市场的闭塞，无法真正将全球的碳排放权交易市场串联起来，从而无法形成全球统一的碳排放权交易市场，这一切将使得碳排放权无法作为商品真正地在全球范围内进行交易。由此可见，将碳排放权当作商品进行交易流通的这种观点在一定程度上仍存在着缺陷。</w:t>
      </w:r>
    </w:p>
    <w:p w14:paraId="3CC21EAF">
      <w:pPr>
        <w:spacing w:line="360" w:lineRule="auto"/>
        <w:ind w:firstLine="480" w:firstLineChars="200"/>
        <w:outlineLvl w:val="1"/>
        <w:rPr>
          <w:rFonts w:ascii="宋体" w:hAnsi="宋体" w:cs="宋体"/>
          <w:sz w:val="24"/>
        </w:rPr>
      </w:pPr>
      <w:r>
        <w:rPr>
          <w:rFonts w:hint="eastAsia" w:ascii="宋体" w:hAnsi="宋体" w:cs="宋体"/>
          <w:sz w:val="24"/>
        </w:rPr>
        <w:t>在流通过程中，碳排放权已经具有了货币属性，因为我们在将碳排放权作为商品进行交易时，已经是利用货币金额来计量碳排放权的流通的。碳排放权的货币属性集中表现在：1、碳排放权可以充当其交易的一般等价物在不同的交易市场上流通；2、碳排放权可以像货币一样存借；3、由于碳排放总量的有限性，导致了碳排放权也呈现出一种稀缺性，从其价格上就得以彰显；4、人们逐渐接受碳排放权，这是由于伴随着温室气体减排压力的增大，碳排放权日益受到人们重视。在一定程度上，碳排放权的商品属性所存在的缺陷在其货币属性的帮扶下得以弥补。这种货币属性打破了僵局，将不同的碳排放权交易市场串联了起来，使得碳排放权在这些交易市场中得以交易流通，最终有利于建设全球统一的碳排放权交易市场。可是从目前发展现状而言，这个目标仍旧很难实现，原因在于碳排放权虽然具有货币属性，但仍无法发挥货币的某些特性，特别是无法像货币一样自由的存借。</w:t>
      </w:r>
    </w:p>
    <w:p w14:paraId="7E1FFAD5">
      <w:pPr>
        <w:spacing w:before="360" w:after="360"/>
        <w:ind w:firstLine="602" w:firstLineChars="200"/>
        <w:outlineLvl w:val="1"/>
        <w:rPr>
          <w:rFonts w:ascii="黑体" w:hAnsi="黑体" w:eastAsia="黑体"/>
          <w:b/>
          <w:sz w:val="30"/>
          <w:szCs w:val="30"/>
        </w:rPr>
      </w:pPr>
    </w:p>
    <w:p w14:paraId="2BE6C6B9">
      <w:pPr>
        <w:spacing w:before="360" w:after="360"/>
        <w:outlineLvl w:val="1"/>
        <w:rPr>
          <w:rFonts w:ascii="黑体" w:hAnsi="黑体" w:eastAsia="黑体"/>
          <w:b/>
          <w:sz w:val="30"/>
          <w:szCs w:val="30"/>
        </w:rPr>
      </w:pPr>
      <w:r>
        <w:rPr>
          <w:rFonts w:ascii="黑体" w:hAnsi="黑体" w:eastAsia="黑体"/>
          <w:b/>
          <w:sz w:val="30"/>
          <w:szCs w:val="30"/>
        </w:rPr>
        <w:t>（二）CDM 项目</w:t>
      </w:r>
    </w:p>
    <w:p w14:paraId="4F627F19">
      <w:pPr>
        <w:spacing w:line="360" w:lineRule="auto"/>
        <w:ind w:firstLine="480" w:firstLineChars="200"/>
        <w:rPr>
          <w:rFonts w:ascii="宋体" w:hAnsi="宋体" w:cs="宋体"/>
          <w:sz w:val="24"/>
        </w:rPr>
      </w:pPr>
      <w:r>
        <w:rPr>
          <w:rFonts w:hint="eastAsia" w:ascii="宋体" w:hAnsi="宋体" w:cs="宋体"/>
          <w:sz w:val="24"/>
        </w:rPr>
        <w:t xml:space="preserve">  CDM（Clean Development Mechanism）即清洁发展机制，是《京都议定书》中所设定的温室气体减排机制中的一种，主要适用于发展中国家和发达国家合作减排。CDM的核心内容是，发达国家提供先进技术设备和资金，在发展中国家境内共同联合实施能够缓解气候变暖的减排项目，从而获得核证的减排量，来协助发达国家完成减排义务。中国作为最大的发展中国家，虽暂不承担减排义务，但为建设资源节约型社会，我国仍积极参与节能减排行动，自从CDM 项目提出后，我国成为发达国家的核证减排量的最大供应国。截至2014 年10 月 23 日，国家发改委共审批了通过了 5059项 CDM 项目，项目类型涉及新能源和可再生能源、节能和提高能效、甲烷回收利用节能和提高能效等，到 2014 年 11 月 15 日为止，已有 1418 个 CDM 项目取得核证减排量（CERs）的签发。</w:t>
      </w:r>
      <w:r>
        <w:rPr>
          <w:rStyle w:val="17"/>
          <w:rFonts w:ascii="宋体" w:hAnsi="宋体" w:cs="宋体"/>
          <w:sz w:val="24"/>
        </w:rPr>
        <w:footnoteReference w:id="3"/>
      </w:r>
      <w:r>
        <w:rPr>
          <w:rFonts w:hint="eastAsia" w:ascii="宋体" w:hAnsi="宋体" w:cs="宋体"/>
          <w:sz w:val="24"/>
        </w:rPr>
        <w:t>在2011 年 8 月 3 日，国家发改委修订了《CDM 机制项目运行管理办法》，2005 年 10 月 12 日施行的管理办法同时废止其目的都是为了加强 CDM 项目的有效管理,保证其有序进行。</w:t>
      </w:r>
    </w:p>
    <w:p w14:paraId="10B2BE66">
      <w:pPr>
        <w:spacing w:before="480" w:after="480"/>
        <w:outlineLvl w:val="0"/>
        <w:rPr>
          <w:rFonts w:ascii="黑体" w:hAnsi="黑体" w:eastAsia="黑体"/>
          <w:b/>
          <w:bCs/>
          <w:sz w:val="36"/>
          <w:szCs w:val="36"/>
        </w:rPr>
      </w:pPr>
      <w:r>
        <w:rPr>
          <w:rFonts w:ascii="黑体" w:hAnsi="黑体" w:eastAsia="黑体"/>
          <w:b/>
          <w:bCs/>
          <w:sz w:val="36"/>
          <w:szCs w:val="36"/>
        </w:rPr>
        <w:t>二、基于 CDM 项目的碳排放权的</w:t>
      </w:r>
      <w:r>
        <w:rPr>
          <w:rFonts w:hint="eastAsia" w:ascii="黑体" w:hAnsi="黑体" w:eastAsia="黑体"/>
          <w:b/>
          <w:bCs/>
          <w:sz w:val="36"/>
          <w:szCs w:val="36"/>
        </w:rPr>
        <w:t>特征及其会计理论</w:t>
      </w:r>
      <w:r>
        <w:rPr>
          <w:rFonts w:ascii="黑体" w:hAnsi="黑体" w:eastAsia="黑体"/>
          <w:b/>
          <w:bCs/>
          <w:sz w:val="36"/>
          <w:szCs w:val="36"/>
        </w:rPr>
        <w:t>确认</w:t>
      </w:r>
    </w:p>
    <w:p w14:paraId="343EFA24">
      <w:pPr>
        <w:spacing w:before="360" w:after="360"/>
        <w:outlineLvl w:val="1"/>
        <w:rPr>
          <w:rFonts w:ascii="黑体" w:hAnsi="黑体" w:eastAsia="黑体"/>
          <w:b/>
          <w:sz w:val="30"/>
          <w:szCs w:val="30"/>
        </w:rPr>
      </w:pPr>
      <w:r>
        <w:rPr>
          <w:rFonts w:hint="eastAsia" w:ascii="黑体" w:hAnsi="黑体" w:eastAsia="黑体"/>
          <w:b/>
          <w:sz w:val="30"/>
          <w:szCs w:val="30"/>
        </w:rPr>
        <w:t>（一）基于 CDM 的碳排放权应当确认为资产</w:t>
      </w:r>
    </w:p>
    <w:p w14:paraId="6F0EFB8F">
      <w:pPr>
        <w:spacing w:line="360" w:lineRule="auto"/>
        <w:ind w:firstLine="480" w:firstLineChars="200"/>
        <w:rPr>
          <w:rFonts w:ascii="宋体" w:hAnsi="宋体" w:cs="宋体"/>
          <w:sz w:val="24"/>
        </w:rPr>
      </w:pPr>
      <w:r>
        <w:rPr>
          <w:rFonts w:hint="eastAsia" w:ascii="宋体" w:hAnsi="宋体" w:cs="宋体"/>
          <w:sz w:val="24"/>
        </w:rPr>
        <w:t>通过对于我国 CDM 项目下碳排放权的特征分析应当将其确认为一项资产：</w:t>
      </w:r>
    </w:p>
    <w:p w14:paraId="2CD59DE7">
      <w:pPr>
        <w:spacing w:before="240" w:after="240"/>
        <w:outlineLvl w:val="2"/>
        <w:rPr>
          <w:rFonts w:ascii="黑体" w:hAnsi="黑体" w:eastAsia="黑体" w:cs="黑体"/>
          <w:sz w:val="24"/>
        </w:rPr>
      </w:pPr>
      <w:commentRangeStart w:id="18"/>
      <w:r>
        <w:rPr>
          <w:rFonts w:hint="eastAsia" w:ascii="黑体" w:hAnsi="黑体" w:eastAsia="黑体" w:cs="黑体"/>
          <w:b/>
          <w:bCs/>
          <w:sz w:val="24"/>
        </w:rPr>
        <w:t>1</w:t>
      </w:r>
      <w:r>
        <w:rPr>
          <w:rFonts w:ascii="黑体" w:hAnsi="黑体" w:eastAsia="黑体" w:cs="黑体"/>
          <w:b/>
          <w:bCs/>
          <w:sz w:val="24"/>
        </w:rPr>
        <w:t>.</w:t>
      </w:r>
      <w:r>
        <w:rPr>
          <w:rFonts w:hint="eastAsia" w:ascii="黑体" w:hAnsi="黑体" w:eastAsia="黑体" w:cs="黑体"/>
          <w:b/>
          <w:bCs/>
          <w:sz w:val="24"/>
        </w:rPr>
        <w:t>由过去的交易或者事项形成的</w:t>
      </w:r>
      <w:commentRangeEnd w:id="18"/>
      <w:r>
        <w:rPr>
          <w:rStyle w:val="16"/>
        </w:rPr>
        <w:commentReference w:id="18"/>
      </w:r>
    </w:p>
    <w:p w14:paraId="1A1771A0">
      <w:pPr>
        <w:spacing w:line="360" w:lineRule="auto"/>
        <w:ind w:firstLine="480" w:firstLineChars="200"/>
        <w:rPr>
          <w:rFonts w:ascii="宋体" w:hAnsi="宋体" w:cs="宋体"/>
          <w:sz w:val="24"/>
        </w:rPr>
      </w:pPr>
      <w:r>
        <w:rPr>
          <w:rFonts w:hint="eastAsia" w:ascii="宋体" w:hAnsi="宋体" w:cs="宋体"/>
          <w:sz w:val="24"/>
        </w:rPr>
        <w:t>我国的碳排放权都是基于 CDM 项目所产生的，其缔造的碳排放权是由过去交易或者事项形成的。</w:t>
      </w:r>
    </w:p>
    <w:p w14:paraId="106EBE47">
      <w:pPr>
        <w:spacing w:before="240" w:after="240"/>
        <w:outlineLvl w:val="2"/>
        <w:rPr>
          <w:rFonts w:ascii="黑体" w:hAnsi="黑体" w:eastAsia="黑体" w:cs="黑体"/>
          <w:sz w:val="24"/>
        </w:rPr>
      </w:pPr>
      <w:r>
        <w:rPr>
          <w:rFonts w:hint="eastAsia" w:ascii="黑体" w:hAnsi="黑体" w:eastAsia="黑体" w:cs="黑体"/>
          <w:b/>
          <w:bCs/>
          <w:sz w:val="24"/>
        </w:rPr>
        <w:t>2</w:t>
      </w:r>
      <w:r>
        <w:rPr>
          <w:rFonts w:ascii="黑体" w:hAnsi="黑体" w:eastAsia="黑体" w:cs="黑体"/>
          <w:b/>
          <w:bCs/>
          <w:sz w:val="24"/>
        </w:rPr>
        <w:t>.</w:t>
      </w:r>
      <w:r>
        <w:rPr>
          <w:rFonts w:hint="eastAsia" w:ascii="黑体" w:hAnsi="黑体" w:eastAsia="黑体" w:cs="黑体"/>
          <w:b/>
          <w:bCs/>
          <w:sz w:val="24"/>
        </w:rPr>
        <w:t>由企业控制和拥有的资源</w:t>
      </w:r>
    </w:p>
    <w:p w14:paraId="03865149">
      <w:pPr>
        <w:spacing w:line="360" w:lineRule="auto"/>
        <w:ind w:firstLine="480" w:firstLineChars="200"/>
        <w:rPr>
          <w:rFonts w:ascii="宋体" w:hAnsi="宋体" w:cs="宋体"/>
          <w:sz w:val="24"/>
        </w:rPr>
      </w:pPr>
      <w:r>
        <w:rPr>
          <w:rFonts w:hint="eastAsia" w:ascii="宋体" w:hAnsi="宋体" w:cs="宋体"/>
          <w:sz w:val="24"/>
        </w:rPr>
        <w:t>根据我国 2005 年颁发的 《清洁发展机制项目运行管理办法》的规定，其实质是我国的企业替政府出售碳排放权，因此碳排放权的所有权是属于政府，是国有资产。 碳排放权是有企业控制的，因为企业可以在国家监管下自行支配由碳减排量，也可以进行出售或留存，授权额度下企业都有可以出售，出售的价格和数量有很大的自主空间。</w:t>
      </w:r>
    </w:p>
    <w:p w14:paraId="52E9066E">
      <w:pPr>
        <w:spacing w:before="240" w:after="240"/>
        <w:outlineLvl w:val="2"/>
        <w:rPr>
          <w:rFonts w:ascii="黑体" w:hAnsi="黑体" w:eastAsia="黑体" w:cs="黑体"/>
          <w:b/>
          <w:bCs/>
          <w:sz w:val="24"/>
        </w:rPr>
      </w:pPr>
      <w:r>
        <w:rPr>
          <w:rFonts w:hint="eastAsia" w:ascii="黑体" w:hAnsi="黑体" w:eastAsia="黑体" w:cs="黑体"/>
          <w:b/>
          <w:bCs/>
          <w:sz w:val="24"/>
        </w:rPr>
        <w:t>3</w:t>
      </w:r>
      <w:r>
        <w:rPr>
          <w:rFonts w:ascii="黑体" w:hAnsi="黑体" w:eastAsia="黑体" w:cs="黑体"/>
          <w:b/>
          <w:bCs/>
          <w:sz w:val="24"/>
        </w:rPr>
        <w:t>.</w:t>
      </w:r>
      <w:r>
        <w:rPr>
          <w:rFonts w:hint="eastAsia" w:ascii="黑体" w:hAnsi="黑体" w:eastAsia="黑体" w:cs="黑体"/>
          <w:b/>
          <w:bCs/>
          <w:sz w:val="24"/>
        </w:rPr>
        <w:t>可以为企业带来经济利益的流入</w:t>
      </w:r>
    </w:p>
    <w:p w14:paraId="50A88A8B">
      <w:pPr>
        <w:spacing w:line="360" w:lineRule="auto"/>
        <w:ind w:firstLine="480" w:firstLineChars="200"/>
        <w:rPr>
          <w:rFonts w:ascii="宋体" w:hAnsi="宋体" w:cs="宋体"/>
          <w:sz w:val="24"/>
        </w:rPr>
      </w:pPr>
      <w:r>
        <w:rPr>
          <w:rFonts w:hint="eastAsia" w:ascii="宋体" w:hAnsi="宋体" w:cs="宋体"/>
          <w:sz w:val="24"/>
        </w:rPr>
        <w:t>从全世界范围来看，碳排放权已成为一项稀缺资源。 如果企业没有拥有足够的碳排放权就不可以向空气中排放温室气体，以至于影响了企业的日常生产经营的碳排放量。碳排放权作为企业生产经营的必要条件，能够通过生产服务带了经济效益的流入。同时企业可以把多余的碳排放权通过碳市场交易来出售给其他主体来达到有经济利益的流入。</w:t>
      </w:r>
    </w:p>
    <w:p w14:paraId="6CD7D581">
      <w:pPr>
        <w:spacing w:before="240" w:after="240"/>
        <w:outlineLvl w:val="2"/>
        <w:rPr>
          <w:rFonts w:ascii="黑体" w:hAnsi="黑体" w:eastAsia="黑体" w:cs="黑体"/>
          <w:b/>
          <w:bCs/>
          <w:sz w:val="24"/>
        </w:rPr>
      </w:pPr>
      <w:r>
        <w:rPr>
          <w:rFonts w:hint="eastAsia" w:ascii="黑体" w:hAnsi="黑体" w:eastAsia="黑体" w:cs="黑体"/>
          <w:b/>
          <w:bCs/>
          <w:sz w:val="24"/>
        </w:rPr>
        <w:t>4</w:t>
      </w:r>
      <w:r>
        <w:rPr>
          <w:rFonts w:ascii="黑体" w:hAnsi="黑体" w:eastAsia="黑体" w:cs="黑体"/>
          <w:b/>
          <w:bCs/>
          <w:sz w:val="24"/>
        </w:rPr>
        <w:t>.</w:t>
      </w:r>
      <w:r>
        <w:rPr>
          <w:rFonts w:hint="eastAsia" w:ascii="黑体" w:hAnsi="黑体" w:eastAsia="黑体" w:cs="黑体"/>
          <w:b/>
          <w:bCs/>
          <w:sz w:val="24"/>
        </w:rPr>
        <w:t>成本能够进行有效计量</w:t>
      </w:r>
    </w:p>
    <w:p w14:paraId="2F269BFE">
      <w:pPr>
        <w:spacing w:line="360" w:lineRule="auto"/>
        <w:ind w:firstLine="480" w:firstLineChars="200"/>
        <w:rPr>
          <w:rFonts w:ascii="宋体" w:hAnsi="宋体" w:cs="宋体"/>
          <w:sz w:val="24"/>
        </w:rPr>
      </w:pPr>
      <w:r>
        <w:rPr>
          <w:rFonts w:hint="eastAsia" w:ascii="宋体" w:hAnsi="宋体" w:cs="宋体"/>
          <w:sz w:val="24"/>
        </w:rPr>
        <w:t>我国企业取得碳排放权方式是通过自身建设 CDM 项目产生 CERs，其成本是由项目建设申请中产生的各种费用进行计量。 其次，我国目前已经在七个省市建立碳交易试点，待到碳交易市场成熟之后，企业向外购进碳排放权的成本也能通过市场得到公允的反映。</w:t>
      </w:r>
    </w:p>
    <w:p w14:paraId="773B28ED">
      <w:pPr>
        <w:spacing w:line="360" w:lineRule="auto"/>
        <w:ind w:firstLine="480" w:firstLineChars="200"/>
        <w:rPr>
          <w:rFonts w:ascii="宋体" w:hAnsi="宋体" w:cs="宋体"/>
          <w:sz w:val="24"/>
        </w:rPr>
      </w:pPr>
      <w:r>
        <w:rPr>
          <w:rFonts w:hint="eastAsia" w:ascii="宋体" w:hAnsi="宋体" w:cs="宋体"/>
          <w:sz w:val="24"/>
        </w:rPr>
        <w:t>通过上面的详细分析可以得出我国在基于 CDM 项目上的碳排放权是符合会计准则对于资产的定义和确认条件的，可以将其认为企业的一项资产。</w:t>
      </w:r>
    </w:p>
    <w:p w14:paraId="339DFB24">
      <w:pPr>
        <w:spacing w:before="360" w:after="360"/>
        <w:outlineLvl w:val="1"/>
        <w:rPr>
          <w:rFonts w:ascii="黑体" w:hAnsi="黑体" w:eastAsia="黑体"/>
          <w:b/>
          <w:sz w:val="30"/>
          <w:szCs w:val="30"/>
        </w:rPr>
      </w:pPr>
      <w:r>
        <w:rPr>
          <w:rFonts w:ascii="黑体" w:hAnsi="黑体" w:eastAsia="黑体"/>
          <w:b/>
          <w:sz w:val="30"/>
          <w:szCs w:val="30"/>
        </w:rPr>
        <w:t>（二）</w:t>
      </w:r>
      <w:r>
        <w:rPr>
          <w:rFonts w:hint="eastAsia" w:ascii="黑体" w:hAnsi="黑体" w:eastAsia="黑体"/>
          <w:b/>
          <w:sz w:val="30"/>
          <w:szCs w:val="30"/>
        </w:rPr>
        <w:t>用于日常生产情况下确认为无形资产</w:t>
      </w:r>
    </w:p>
    <w:p w14:paraId="4EB87569">
      <w:pPr>
        <w:spacing w:line="360" w:lineRule="auto"/>
        <w:ind w:firstLine="480" w:firstLineChars="200"/>
        <w:rPr>
          <w:rFonts w:ascii="宋体" w:hAnsi="宋体" w:cs="宋体"/>
          <w:sz w:val="24"/>
        </w:rPr>
      </w:pPr>
      <w:r>
        <w:rPr>
          <w:rFonts w:hint="eastAsia" w:ascii="宋体" w:hAnsi="宋体" w:cs="宋体"/>
          <w:sz w:val="24"/>
        </w:rPr>
        <w:t>当企业所持有CERs的目的是生产产品和提高产品的生产效率时，企业可以将 CERs看作成一项无形资产。在这种情况下，</w:t>
      </w:r>
      <w:r>
        <w:rPr>
          <w:rStyle w:val="14"/>
          <w:rFonts w:hint="eastAsia" w:ascii="宋体" w:hAnsi="宋体" w:cs="宋体"/>
          <w:b w:val="0"/>
          <w:sz w:val="24"/>
        </w:rPr>
        <w:t>企业将拥有 CERs 的用于日常生产经营</w:t>
      </w:r>
      <w:r>
        <w:rPr>
          <w:rFonts w:hint="eastAsia" w:ascii="宋体" w:hAnsi="宋体" w:cs="宋体"/>
          <w:sz w:val="24"/>
        </w:rPr>
        <w:t>，若期末企业实际的排放量达到基准时，企业可以将剩余的 CERs 留存用于企业未来期间抵减。这样的既符合单独出售或转让的无形资产特征，又符合CERs 不具有实物形态，同时可以真实反映CERs给企业带来经济利益流入的途径。</w:t>
      </w:r>
    </w:p>
    <w:p w14:paraId="157D151D">
      <w:pPr>
        <w:spacing w:before="360" w:after="360"/>
        <w:outlineLvl w:val="1"/>
        <w:rPr>
          <w:rFonts w:ascii="黑体" w:hAnsi="黑体" w:eastAsia="黑体"/>
          <w:b/>
          <w:sz w:val="30"/>
          <w:szCs w:val="30"/>
        </w:rPr>
      </w:pPr>
    </w:p>
    <w:p w14:paraId="7A9FB673">
      <w:pPr>
        <w:spacing w:before="360" w:after="360"/>
        <w:outlineLvl w:val="1"/>
        <w:rPr>
          <w:rStyle w:val="16"/>
          <w:sz w:val="30"/>
          <w:szCs w:val="30"/>
        </w:rPr>
      </w:pPr>
      <w:r>
        <w:rPr>
          <w:rFonts w:hint="eastAsia" w:ascii="黑体" w:hAnsi="黑体" w:eastAsia="黑体"/>
          <w:b/>
          <w:sz w:val="30"/>
          <w:szCs w:val="30"/>
        </w:rPr>
        <w:t>（三）企业用于出售情况下确认为金融资产</w:t>
      </w:r>
    </w:p>
    <w:p w14:paraId="5C274D77">
      <w:pPr>
        <w:spacing w:line="360" w:lineRule="auto"/>
        <w:ind w:firstLine="480" w:firstLineChars="200"/>
        <w:rPr>
          <w:rFonts w:ascii="宋体" w:hAnsi="宋体" w:cs="宋体"/>
          <w:sz w:val="24"/>
        </w:rPr>
      </w:pPr>
      <w:r>
        <w:rPr>
          <w:rFonts w:hint="eastAsia" w:ascii="宋体" w:hAnsi="宋体" w:cs="宋体"/>
          <w:sz w:val="24"/>
        </w:rPr>
        <w:t>碳交易市场的成熟，可以反映 CERs公允价值，一些企业或者金融机构往往会使用CERs值对市场价格的波动来赚取差价，这时CERs出售和购买会成为日常经营活动的主体。在这样的情形下，CERs应当认为一项金融资产。 伴随着碳交易市场的日益活跃和完善，CERs 可以带来经济利益的流入通过金融工具， 根据企业拥有 CERs 的目的的这种情况下，不可以将其确认为无形资产和存货， 应当把CERs 看作为一项金融资产来进行确认。</w:t>
      </w:r>
    </w:p>
    <w:p w14:paraId="6AD3B973">
      <w:pPr>
        <w:spacing w:before="480" w:after="480"/>
        <w:outlineLvl w:val="0"/>
        <w:rPr>
          <w:rFonts w:ascii="黑体" w:hAnsi="黑体" w:eastAsia="黑体"/>
          <w:b/>
          <w:bCs/>
          <w:sz w:val="36"/>
          <w:szCs w:val="36"/>
        </w:rPr>
      </w:pPr>
      <w:r>
        <w:rPr>
          <w:rFonts w:hint="eastAsia" w:ascii="黑体" w:hAnsi="黑体" w:eastAsia="黑体"/>
          <w:b/>
          <w:bCs/>
          <w:sz w:val="36"/>
          <w:szCs w:val="36"/>
        </w:rPr>
        <w:t>三．</w:t>
      </w:r>
      <w:r>
        <w:rPr>
          <w:rFonts w:ascii="黑体" w:hAnsi="黑体" w:eastAsia="黑体"/>
          <w:b/>
          <w:bCs/>
          <w:sz w:val="36"/>
          <w:szCs w:val="36"/>
        </w:rPr>
        <w:t>基于 CDM 项目的碳排放权</w:t>
      </w:r>
      <w:r>
        <w:rPr>
          <w:rFonts w:hint="eastAsia" w:ascii="黑体" w:hAnsi="黑体" w:eastAsia="黑体"/>
          <w:b/>
          <w:bCs/>
          <w:sz w:val="36"/>
          <w:szCs w:val="36"/>
        </w:rPr>
        <w:t>的初始</w:t>
      </w:r>
      <w:r>
        <w:rPr>
          <w:rFonts w:ascii="黑体" w:hAnsi="黑体" w:eastAsia="黑体"/>
          <w:b/>
          <w:bCs/>
          <w:sz w:val="36"/>
          <w:szCs w:val="36"/>
        </w:rPr>
        <w:t>计量</w:t>
      </w:r>
      <w:r>
        <w:rPr>
          <w:rFonts w:hint="eastAsia" w:ascii="黑体" w:hAnsi="黑体" w:eastAsia="黑体"/>
          <w:b/>
          <w:bCs/>
          <w:sz w:val="36"/>
          <w:szCs w:val="36"/>
        </w:rPr>
        <w:t>与后续计量</w:t>
      </w:r>
    </w:p>
    <w:p w14:paraId="577E6E35">
      <w:pPr>
        <w:spacing w:before="360" w:after="360"/>
        <w:outlineLvl w:val="1"/>
        <w:rPr>
          <w:rFonts w:ascii="黑体" w:hAnsi="黑体" w:eastAsia="黑体"/>
          <w:b/>
          <w:sz w:val="30"/>
          <w:szCs w:val="30"/>
        </w:rPr>
      </w:pPr>
      <w:r>
        <w:rPr>
          <w:rFonts w:hint="eastAsia" w:ascii="黑体" w:hAnsi="黑体" w:eastAsia="黑体"/>
          <w:b/>
          <w:sz w:val="30"/>
          <w:szCs w:val="30"/>
        </w:rPr>
        <w:t>（一）确认为无形资产时碳排放权的计量</w:t>
      </w:r>
    </w:p>
    <w:p w14:paraId="2856C3CB">
      <w:pPr>
        <w:spacing w:line="360" w:lineRule="auto"/>
        <w:rPr>
          <w:rStyle w:val="16"/>
          <w:rFonts w:ascii="宋体" w:hAnsi="宋体" w:cs="宋体"/>
          <w:sz w:val="24"/>
          <w:szCs w:val="24"/>
        </w:rPr>
      </w:pPr>
      <w:r>
        <w:rPr>
          <w:rStyle w:val="16"/>
          <w:rFonts w:hint="eastAsia" w:ascii="宋体" w:hAnsi="宋体" w:cs="宋体"/>
          <w:sz w:val="24"/>
          <w:szCs w:val="24"/>
        </w:rPr>
        <w:t xml:space="preserve">    当前的 CDM 项目中，碳排放权是由经核证的碳减排量的形式进行交易的。首先企业应该是通过CDM 项目注册并经过核证的国内企业，然后这些企业可以在其无形资产科目下设“碳减排量”的二级明细科目，最后做出以下的会计处理：</w:t>
      </w:r>
    </w:p>
    <w:p w14:paraId="23A202BD">
      <w:pPr>
        <w:tabs>
          <w:tab w:val="left" w:pos="284"/>
        </w:tabs>
        <w:spacing w:before="240" w:after="240"/>
        <w:outlineLvl w:val="2"/>
        <w:rPr>
          <w:rStyle w:val="16"/>
          <w:rFonts w:ascii="黑体" w:hAnsi="黑体" w:eastAsia="黑体" w:cs="黑体"/>
          <w:b/>
          <w:bCs/>
          <w:sz w:val="24"/>
          <w:szCs w:val="24"/>
        </w:rPr>
      </w:pPr>
      <w:r>
        <w:rPr>
          <w:rStyle w:val="16"/>
          <w:rFonts w:hint="eastAsia" w:ascii="黑体" w:hAnsi="黑体" w:eastAsia="黑体" w:cs="黑体"/>
          <w:b/>
          <w:bCs/>
          <w:sz w:val="24"/>
          <w:szCs w:val="24"/>
        </w:rPr>
        <w:t>1.初始计量</w:t>
      </w:r>
    </w:p>
    <w:p w14:paraId="194FC4C9">
      <w:pPr>
        <w:spacing w:line="360" w:lineRule="auto"/>
        <w:ind w:firstLine="480" w:firstLineChars="200"/>
        <w:rPr>
          <w:rStyle w:val="16"/>
          <w:rFonts w:ascii="宋体" w:hAnsi="宋体" w:cs="宋体"/>
          <w:sz w:val="24"/>
          <w:szCs w:val="24"/>
        </w:rPr>
      </w:pPr>
      <w:r>
        <w:rPr>
          <w:rStyle w:val="16"/>
          <w:rFonts w:hint="eastAsia" w:ascii="宋体" w:hAnsi="宋体" w:cs="宋体"/>
          <w:sz w:val="24"/>
          <w:szCs w:val="24"/>
        </w:rPr>
        <w:t>无形资产应当按照成本进行初始计量，有以下情况：一、由企业开发的项目，其开发成本作为初始成本，平时归集，项目完成后转入无形资产账户；二、由政府授予的，当日国外活跃市场的公允价值作为初始成本。</w:t>
      </w:r>
    </w:p>
    <w:p w14:paraId="243D085F">
      <w:pPr>
        <w:spacing w:before="240" w:after="240"/>
        <w:outlineLvl w:val="2"/>
        <w:rPr>
          <w:rStyle w:val="16"/>
          <w:rFonts w:ascii="黑体" w:hAnsi="黑体" w:eastAsia="黑体" w:cs="黑体"/>
          <w:b/>
          <w:bCs/>
          <w:sz w:val="24"/>
          <w:szCs w:val="24"/>
        </w:rPr>
      </w:pPr>
      <w:r>
        <w:rPr>
          <w:rStyle w:val="16"/>
          <w:rFonts w:hint="eastAsia" w:ascii="黑体" w:hAnsi="黑体" w:eastAsia="黑体" w:cs="黑体"/>
          <w:b/>
          <w:bCs/>
          <w:sz w:val="24"/>
          <w:szCs w:val="24"/>
        </w:rPr>
        <w:t>2.后续计量</w:t>
      </w:r>
    </w:p>
    <w:p w14:paraId="5476E493">
      <w:pPr>
        <w:spacing w:line="360" w:lineRule="auto"/>
        <w:ind w:firstLine="480" w:firstLineChars="200"/>
        <w:rPr>
          <w:rStyle w:val="16"/>
          <w:rFonts w:ascii="宋体" w:hAnsi="宋体" w:cs="宋体"/>
          <w:sz w:val="24"/>
          <w:szCs w:val="24"/>
        </w:rPr>
      </w:pPr>
      <w:r>
        <w:rPr>
          <w:rStyle w:val="16"/>
          <w:rFonts w:hint="eastAsia" w:ascii="宋体" w:hAnsi="宋体" w:cs="宋体"/>
          <w:sz w:val="24"/>
          <w:szCs w:val="24"/>
        </w:rPr>
        <w:t>待合同到期时可以将碳减排量一次性出售给发达国家的企业，同时收益也不需要分摊到其他收益期，也不需要进行无形资产的摊销。但是在出售时，根据《清洁发展机制项目运行管理办法》的明文规定，收益可以在实施项目的企业和中国政府之间分配。取得碳减排量和价款的账面价值差额扣除上缴给国家的部分其余可以归入当期损益。</w:t>
      </w:r>
    </w:p>
    <w:p w14:paraId="702BC0DA">
      <w:pPr>
        <w:spacing w:before="240" w:after="240"/>
        <w:outlineLvl w:val="2"/>
        <w:rPr>
          <w:rStyle w:val="16"/>
          <w:rFonts w:ascii="黑体" w:hAnsi="黑体" w:eastAsia="黑体" w:cs="黑体"/>
          <w:b/>
          <w:bCs/>
          <w:sz w:val="24"/>
          <w:szCs w:val="24"/>
        </w:rPr>
      </w:pPr>
      <w:r>
        <w:rPr>
          <w:rStyle w:val="16"/>
          <w:rFonts w:hint="eastAsia" w:ascii="黑体" w:hAnsi="黑体" w:eastAsia="黑体" w:cs="黑体"/>
          <w:b/>
          <w:bCs/>
          <w:sz w:val="24"/>
          <w:szCs w:val="24"/>
        </w:rPr>
        <w:t>3.分配的具体比例</w:t>
      </w:r>
    </w:p>
    <w:p w14:paraId="59926926">
      <w:pPr>
        <w:spacing w:line="360" w:lineRule="auto"/>
        <w:ind w:firstLine="480" w:firstLineChars="200"/>
        <w:rPr>
          <w:rStyle w:val="16"/>
          <w:rFonts w:ascii="宋体" w:hAnsi="宋体" w:cs="宋体"/>
          <w:sz w:val="24"/>
          <w:szCs w:val="24"/>
        </w:rPr>
      </w:pPr>
      <w:r>
        <w:rPr>
          <w:rStyle w:val="16"/>
          <w:rFonts w:hint="eastAsia" w:ascii="宋体" w:hAnsi="宋体" w:cs="宋体"/>
          <w:sz w:val="24"/>
          <w:szCs w:val="24"/>
        </w:rPr>
        <w:t>项目为全氟碳化物和氢氟碳化物类项目时，政府需要收取转让温室气体减排量转让额的 65%；项目为重点领域（以提高能源效率、可再生能源、开发利用新能源和煤层气为主以及回收利用甲烷）以及植树造林项目等类环境保护项目时，政府需收取该转让额的 2%。项目为氧化亚氮类项目时，政府需要收取该转让额的 30%；</w:t>
      </w:r>
    </w:p>
    <w:p w14:paraId="60D8BDAE">
      <w:pPr>
        <w:spacing w:before="480" w:after="480"/>
        <w:outlineLvl w:val="0"/>
        <w:rPr>
          <w:rFonts w:ascii="黑体" w:hAnsi="黑体" w:eastAsia="黑体" w:cs="宋体"/>
          <w:b/>
          <w:kern w:val="0"/>
          <w:sz w:val="36"/>
          <w:szCs w:val="36"/>
        </w:rPr>
      </w:pPr>
      <w:r>
        <w:rPr>
          <w:rFonts w:hint="eastAsia" w:ascii="黑体" w:hAnsi="黑体" w:eastAsia="黑体" w:cs="宋体"/>
          <w:b/>
          <w:kern w:val="0"/>
          <w:sz w:val="36"/>
          <w:szCs w:val="36"/>
        </w:rPr>
        <w:t>五、结论</w:t>
      </w:r>
    </w:p>
    <w:p w14:paraId="75F1A51C">
      <w:pPr>
        <w:spacing w:line="360" w:lineRule="auto"/>
        <w:ind w:firstLine="480" w:firstLineChars="200"/>
        <w:outlineLvl w:val="1"/>
        <w:rPr>
          <w:rFonts w:ascii="宋体" w:hAnsi="宋体" w:cs="宋体"/>
          <w:kern w:val="0"/>
          <w:sz w:val="24"/>
        </w:rPr>
      </w:pPr>
      <w:r>
        <w:rPr>
          <w:rFonts w:hint="eastAsia" w:ascii="宋体" w:hAnsi="宋体" w:cs="宋体"/>
          <w:sz w:val="24"/>
        </w:rPr>
        <w:t>为了能减轻全球气候变暖的情况，1997年84国在日本京都签署了《京都议定书》（KP），条约对发达国家的温室气体减排量化方针有明文规定。</w:t>
      </w:r>
      <w:r>
        <w:rPr>
          <w:rFonts w:hint="eastAsia" w:ascii="宋体" w:hAnsi="宋体" w:cs="宋体"/>
          <w:kern w:val="0"/>
          <w:sz w:val="24"/>
        </w:rPr>
        <w:t>确定了三种温室气体减排的相关规定，其中CDM作为唯一一个发达国家与发展中国家进行交易的机制，也是我国参与国际碳排放权交易的途径。近年来，我国成功注册的CDM项目与日俱增，与碳排放权相关的会计问题也成为学术界关注的焦点。本文首先通过阐述碳排放权及CDM项目产生的历史背景，明确了论文的研究目的及意义。其次又对</w:t>
      </w:r>
      <w:r>
        <w:rPr>
          <w:rFonts w:hint="eastAsia" w:ascii="宋体" w:hAnsi="宋体"/>
          <w:sz w:val="24"/>
        </w:rPr>
        <w:t>碳排放权的特征及其会计理论确认，即碳排放权什么情况下无形资产和金融资产。同时还详细的说明了碳排放权的计量与后续计量。最后文章又对CDM项目的碳排放权会计信息进行披露并说明虽注重表内披露，但也需要表外披露为辅。</w:t>
      </w:r>
    </w:p>
    <w:p w14:paraId="52580866">
      <w:pPr>
        <w:spacing w:line="360" w:lineRule="auto"/>
        <w:outlineLvl w:val="1"/>
        <w:rPr>
          <w:rFonts w:ascii="宋体" w:hAnsi="宋体" w:cs="宋体"/>
          <w:color w:val="FF0000"/>
          <w:kern w:val="0"/>
          <w:sz w:val="24"/>
        </w:rPr>
      </w:pPr>
    </w:p>
    <w:p w14:paraId="16471A2F">
      <w:pPr>
        <w:spacing w:line="360" w:lineRule="auto"/>
        <w:jc w:val="center"/>
        <w:outlineLvl w:val="0"/>
        <w:rPr>
          <w:rFonts w:ascii="黑体" w:hAnsi="黑体" w:eastAsia="黑体" w:cs="楷体"/>
          <w:b/>
          <w:bCs/>
          <w:sz w:val="28"/>
          <w:szCs w:val="28"/>
        </w:rPr>
      </w:pPr>
      <w:commentRangeStart w:id="19"/>
      <w:r>
        <w:rPr>
          <w:rFonts w:hint="eastAsia" w:ascii="黑体" w:hAnsi="黑体" w:eastAsia="黑体" w:cs="楷体"/>
          <w:b/>
          <w:bCs/>
          <w:sz w:val="28"/>
          <w:szCs w:val="28"/>
        </w:rPr>
        <w:t>参考文献</w:t>
      </w:r>
      <w:commentRangeEnd w:id="19"/>
      <w:r>
        <w:rPr>
          <w:rStyle w:val="16"/>
        </w:rPr>
        <w:commentReference w:id="19"/>
      </w:r>
    </w:p>
    <w:p w14:paraId="40C42A7B">
      <w:pPr>
        <w:spacing w:line="360" w:lineRule="auto"/>
        <w:rPr>
          <w:rFonts w:ascii="宋体" w:hAnsi="宋体" w:cs="宋体"/>
          <w:sz w:val="24"/>
        </w:rPr>
      </w:pPr>
      <w:r>
        <w:rPr>
          <w:rFonts w:hint="eastAsia" w:ascii="宋体" w:hAnsi="宋体" w:cs="宋体"/>
          <w:sz w:val="24"/>
        </w:rPr>
        <w:t xml:space="preserve"> [1]刘裕生. 1992-2011 年北京市碳排放核算[J]. 东方企业文化，2013，2(5)：10-12</w:t>
      </w:r>
    </w:p>
    <w:p w14:paraId="409E8D5F">
      <w:pPr>
        <w:spacing w:line="360" w:lineRule="auto"/>
        <w:rPr>
          <w:rFonts w:ascii="宋体" w:hAnsi="宋体" w:cs="宋体"/>
          <w:sz w:val="24"/>
        </w:rPr>
      </w:pPr>
      <w:r>
        <w:rPr>
          <w:rFonts w:hint="eastAsia" w:ascii="宋体" w:hAnsi="宋体" w:cs="宋体"/>
          <w:sz w:val="24"/>
        </w:rPr>
        <w:t xml:space="preserve"> [2]杨博. 企业强制减排义务前后的碳排放权会计处理[J].会计之友，2013，23(6)：15-16</w:t>
      </w:r>
    </w:p>
    <w:p w14:paraId="1DA24371">
      <w:pPr>
        <w:spacing w:line="360" w:lineRule="auto"/>
        <w:rPr>
          <w:rFonts w:ascii="宋体" w:hAnsi="宋体" w:cs="宋体"/>
          <w:sz w:val="24"/>
        </w:rPr>
      </w:pPr>
      <w:r>
        <w:rPr>
          <w:rFonts w:hint="eastAsia" w:ascii="宋体" w:hAnsi="宋体" w:cs="宋体"/>
          <w:sz w:val="24"/>
        </w:rPr>
        <w:t xml:space="preserve"> [3]周志方. 论国际碳会计的最新发展及启示[J].中国能源，2009，9:17-18</w:t>
      </w:r>
    </w:p>
    <w:p w14:paraId="7501F5ED">
      <w:pPr>
        <w:spacing w:line="360" w:lineRule="auto"/>
        <w:rPr>
          <w:rFonts w:ascii="宋体" w:hAnsi="宋体" w:cs="宋体"/>
          <w:sz w:val="24"/>
        </w:rPr>
      </w:pPr>
      <w:r>
        <w:rPr>
          <w:rFonts w:hint="eastAsia" w:ascii="宋体" w:hAnsi="宋体" w:cs="宋体"/>
          <w:sz w:val="24"/>
        </w:rPr>
        <w:t xml:space="preserve"> [4]徐志新. 碳排放权交易机制及其相关会计处理研究[J].财务与会计，2013（1）:10-11</w:t>
      </w:r>
    </w:p>
    <w:p w14:paraId="674487EC">
      <w:pPr>
        <w:spacing w:line="360" w:lineRule="auto"/>
        <w:rPr>
          <w:rFonts w:ascii="宋体" w:hAnsi="宋体" w:cs="宋体"/>
          <w:sz w:val="24"/>
        </w:rPr>
      </w:pPr>
      <w:r>
        <w:rPr>
          <w:rFonts w:hint="eastAsia" w:ascii="宋体" w:hAnsi="宋体" w:cs="宋体"/>
          <w:sz w:val="24"/>
        </w:rPr>
        <w:t xml:space="preserve"> [5]吴德林. 碳排放权会计问题初探[J].开放导报，2013（3）：21-22</w:t>
      </w:r>
    </w:p>
    <w:p w14:paraId="4B1F4845">
      <w:pPr>
        <w:spacing w:line="360" w:lineRule="auto"/>
        <w:rPr>
          <w:rFonts w:ascii="宋体" w:hAnsi="宋体" w:cs="宋体"/>
          <w:sz w:val="24"/>
        </w:rPr>
      </w:pPr>
      <w:r>
        <w:rPr>
          <w:rFonts w:hint="eastAsia" w:ascii="宋体" w:hAnsi="宋体" w:cs="宋体"/>
          <w:sz w:val="24"/>
        </w:rPr>
        <w:t xml:space="preserve"> [6] 王艳龙，孙启明. 低碳经济下碳排放权会计问题探析[J]. 经济纵横，    2010,12(5):23-24</w:t>
      </w:r>
    </w:p>
    <w:p w14:paraId="0A244940">
      <w:pPr>
        <w:spacing w:line="360" w:lineRule="auto"/>
        <w:rPr>
          <w:rFonts w:ascii="宋体" w:hAnsi="宋体" w:cs="宋体"/>
          <w:sz w:val="24"/>
        </w:rPr>
      </w:pPr>
      <w:r>
        <w:rPr>
          <w:rFonts w:hint="eastAsia" w:ascii="宋体" w:hAnsi="宋体" w:cs="宋体"/>
          <w:sz w:val="24"/>
        </w:rPr>
        <w:t xml:space="preserve"> [7]武立聪. 企业碳中和交易会计处理初探[J]. 中国商贸，2012,36(2)：16-17 </w:t>
      </w:r>
    </w:p>
    <w:p w14:paraId="2D1AC8FC">
      <w:pPr>
        <w:spacing w:line="360" w:lineRule="auto"/>
        <w:rPr>
          <w:rFonts w:ascii="宋体" w:hAnsi="宋体" w:cs="宋体"/>
          <w:sz w:val="24"/>
        </w:rPr>
      </w:pPr>
      <w:r>
        <w:rPr>
          <w:rFonts w:hint="eastAsia" w:ascii="宋体" w:hAnsi="宋体" w:cs="宋体"/>
          <w:sz w:val="24"/>
        </w:rPr>
        <w:t xml:space="preserve"> [8]张彩平. 碳排放权交易会计研究[J].中南大学学报，2011，2(4)：14-15 </w:t>
      </w:r>
    </w:p>
    <w:p w14:paraId="779D2FE1">
      <w:pPr>
        <w:spacing w:line="360" w:lineRule="auto"/>
        <w:rPr>
          <w:rFonts w:ascii="宋体" w:hAnsi="宋体" w:cs="宋体"/>
          <w:sz w:val="24"/>
        </w:rPr>
      </w:pPr>
      <w:r>
        <w:rPr>
          <w:rFonts w:hint="eastAsia" w:ascii="宋体" w:hAnsi="宋体" w:cs="宋体"/>
          <w:sz w:val="24"/>
        </w:rPr>
        <w:t xml:space="preserve"> [9]张彩平. 碳排放权初始会计确认问题研究[J].会计与经济研究，2011，4(7)：23-24 </w:t>
      </w:r>
    </w:p>
    <w:p w14:paraId="6442BDC0">
      <w:pPr>
        <w:spacing w:line="360" w:lineRule="auto"/>
        <w:rPr>
          <w:rFonts w:ascii="宋体" w:hAnsi="宋体" w:cs="宋体"/>
          <w:sz w:val="24"/>
        </w:rPr>
      </w:pPr>
      <w:r>
        <w:rPr>
          <w:rFonts w:hint="eastAsia" w:ascii="宋体" w:hAnsi="宋体" w:cs="宋体"/>
          <w:sz w:val="24"/>
        </w:rPr>
        <w:t xml:space="preserve"> [10]鲁静怡. IASB／FASB 资产概念变迁：综述及其对我国的启发浅析[J].商情，2012,28(8): 70-71 </w:t>
      </w:r>
    </w:p>
    <w:p w14:paraId="6F76680E">
      <w:pPr>
        <w:spacing w:line="360" w:lineRule="auto"/>
        <w:rPr>
          <w:rFonts w:ascii="宋体" w:hAnsi="宋体" w:cs="宋体"/>
          <w:sz w:val="24"/>
        </w:rPr>
      </w:pPr>
      <w:r>
        <w:rPr>
          <w:rFonts w:hint="eastAsia" w:ascii="宋体" w:hAnsi="宋体" w:cs="宋体"/>
          <w:sz w:val="24"/>
        </w:rPr>
        <w:t xml:space="preserve"> [11]武宇卿. 浅议会计要素以及计量原则[J].知识经济，2013（4）：56-57</w:t>
      </w:r>
    </w:p>
    <w:p w14:paraId="2C82E436">
      <w:pPr>
        <w:spacing w:line="360" w:lineRule="auto"/>
        <w:rPr>
          <w:rFonts w:ascii="宋体" w:hAnsi="宋体" w:cs="宋体"/>
          <w:sz w:val="24"/>
        </w:rPr>
      </w:pPr>
      <w:r>
        <w:rPr>
          <w:rFonts w:hint="eastAsia" w:ascii="宋体" w:hAnsi="宋体" w:cs="宋体"/>
          <w:sz w:val="24"/>
        </w:rPr>
        <w:t xml:space="preserve"> [12] 薛睿. 中国低碳经济发展的政策研究[</w:t>
      </w:r>
      <w:r>
        <w:rPr>
          <w:rFonts w:ascii="宋体" w:hAnsi="宋体" w:cs="宋体"/>
          <w:sz w:val="24"/>
        </w:rPr>
        <w:t>D</w:t>
      </w:r>
      <w:r>
        <w:rPr>
          <w:rFonts w:hint="eastAsia" w:ascii="宋体" w:hAnsi="宋体" w:cs="宋体"/>
          <w:sz w:val="24"/>
        </w:rPr>
        <w:t>]. 中共中央党校博士论文，2011,6:45-46</w:t>
      </w:r>
    </w:p>
    <w:p w14:paraId="3479C0A9">
      <w:pPr>
        <w:rPr>
          <w:szCs w:val="32"/>
        </w:rPr>
      </w:pPr>
    </w:p>
    <w:p w14:paraId="3DE0F374">
      <w:pPr>
        <w:rPr>
          <w:szCs w:val="32"/>
        </w:rPr>
      </w:pPr>
    </w:p>
    <w:p w14:paraId="79E87DBB">
      <w:pPr>
        <w:rPr>
          <w:szCs w:val="32"/>
        </w:rPr>
      </w:pPr>
    </w:p>
    <w:p w14:paraId="672C71E8">
      <w:pPr>
        <w:spacing w:line="360" w:lineRule="auto"/>
        <w:jc w:val="center"/>
        <w:rPr>
          <w:rFonts w:ascii="黑体" w:hAnsi="黑体" w:eastAsia="黑体"/>
          <w:sz w:val="36"/>
          <w:szCs w:val="36"/>
        </w:rPr>
      </w:pPr>
      <w:r>
        <w:rPr>
          <w:rFonts w:hint="eastAsia" w:ascii="黑体" w:hAnsi="黑体" w:eastAsia="黑体"/>
          <w:sz w:val="36"/>
          <w:szCs w:val="36"/>
        </w:rPr>
        <w:t>附录 标题</w:t>
      </w:r>
    </w:p>
    <w:p w14:paraId="2F1ABE9A">
      <w:pPr>
        <w:pStyle w:val="32"/>
        <w:spacing w:line="360" w:lineRule="auto"/>
        <w:ind w:firstLine="480"/>
        <w:rPr>
          <w:sz w:val="24"/>
        </w:rPr>
      </w:pPr>
      <w:r>
        <w:rPr>
          <w:rFonts w:hint="eastAsia"/>
          <w:sz w:val="24"/>
        </w:rPr>
        <w:t>附录是作为论文主体的补充项目，并不是必须的。</w:t>
      </w:r>
    </w:p>
    <w:p w14:paraId="300EF44F">
      <w:pPr>
        <w:spacing w:line="520" w:lineRule="exact"/>
        <w:ind w:firstLine="480" w:firstLineChars="200"/>
        <w:rPr>
          <w:sz w:val="24"/>
        </w:rPr>
      </w:pPr>
      <w:r>
        <w:rPr>
          <w:rFonts w:hint="eastAsia"/>
          <w:sz w:val="24"/>
        </w:rPr>
        <w:t>依序编排为附录</w:t>
      </w:r>
      <w:r>
        <w:rPr>
          <w:sz w:val="24"/>
        </w:rPr>
        <w:t>1</w:t>
      </w:r>
      <w:r>
        <w:rPr>
          <w:rFonts w:hint="eastAsia"/>
          <w:sz w:val="24"/>
        </w:rPr>
        <w:t>、附录</w:t>
      </w:r>
      <w:r>
        <w:rPr>
          <w:sz w:val="24"/>
        </w:rPr>
        <w:t>2</w:t>
      </w:r>
      <w:r>
        <w:rPr>
          <w:rFonts w:hint="eastAsia"/>
          <w:sz w:val="24"/>
        </w:rPr>
        <w:t>……。附录中的图表公式另编排序号，与正文分开。</w:t>
      </w:r>
    </w:p>
    <w:p w14:paraId="48BF56C9">
      <w:pPr>
        <w:rPr>
          <w:szCs w:val="32"/>
        </w:rPr>
      </w:pPr>
    </w:p>
    <w:p w14:paraId="57F42E63">
      <w:pPr>
        <w:spacing w:line="360" w:lineRule="auto"/>
        <w:jc w:val="left"/>
        <w:rPr>
          <w:sz w:val="28"/>
          <w:szCs w:val="28"/>
        </w:rPr>
      </w:pPr>
    </w:p>
    <w:p w14:paraId="045180D1">
      <w:pPr>
        <w:spacing w:line="360" w:lineRule="auto"/>
        <w:jc w:val="left"/>
        <w:rPr>
          <w:sz w:val="28"/>
          <w:szCs w:val="28"/>
        </w:rPr>
      </w:pPr>
    </w:p>
    <w:p w14:paraId="101F4B92">
      <w:pPr>
        <w:spacing w:line="360" w:lineRule="auto"/>
        <w:jc w:val="left"/>
        <w:rPr>
          <w:sz w:val="28"/>
          <w:szCs w:val="28"/>
        </w:rPr>
      </w:pPr>
    </w:p>
    <w:p w14:paraId="517696AB">
      <w:pPr>
        <w:spacing w:line="360" w:lineRule="auto"/>
        <w:jc w:val="left"/>
        <w:rPr>
          <w:sz w:val="28"/>
          <w:szCs w:val="28"/>
        </w:rPr>
      </w:pPr>
    </w:p>
    <w:p w14:paraId="195A9CCB">
      <w:pPr>
        <w:spacing w:line="360" w:lineRule="auto"/>
        <w:jc w:val="left"/>
        <w:rPr>
          <w:sz w:val="28"/>
          <w:szCs w:val="28"/>
        </w:rPr>
      </w:pPr>
    </w:p>
    <w:p w14:paraId="14E8D602">
      <w:pPr>
        <w:spacing w:line="360" w:lineRule="auto"/>
        <w:jc w:val="left"/>
        <w:rPr>
          <w:sz w:val="28"/>
          <w:szCs w:val="28"/>
        </w:rPr>
      </w:pPr>
    </w:p>
    <w:p w14:paraId="57484650">
      <w:pPr>
        <w:spacing w:line="360" w:lineRule="auto"/>
        <w:jc w:val="left"/>
        <w:rPr>
          <w:sz w:val="28"/>
          <w:szCs w:val="28"/>
        </w:rPr>
      </w:pPr>
    </w:p>
    <w:p w14:paraId="40FE7CBC">
      <w:pPr>
        <w:spacing w:line="360" w:lineRule="auto"/>
        <w:jc w:val="left"/>
        <w:rPr>
          <w:sz w:val="28"/>
          <w:szCs w:val="28"/>
        </w:rPr>
      </w:pPr>
    </w:p>
    <w:p w14:paraId="0E0F8AF6">
      <w:pPr>
        <w:spacing w:line="360" w:lineRule="auto"/>
        <w:ind w:firstLine="482" w:firstLineChars="200"/>
        <w:rPr>
          <w:b/>
          <w:sz w:val="24"/>
          <w:szCs w:val="24"/>
        </w:rPr>
      </w:pPr>
    </w:p>
    <w:p w14:paraId="125B7222">
      <w:pPr>
        <w:spacing w:line="360" w:lineRule="auto"/>
        <w:jc w:val="left"/>
        <w:rPr>
          <w:b/>
          <w:sz w:val="24"/>
          <w:szCs w:val="24"/>
        </w:rPr>
      </w:pPr>
      <w:r>
        <w:rPr>
          <w:rFonts w:hint="eastAsia"/>
          <w:b/>
          <w:sz w:val="24"/>
          <w:szCs w:val="24"/>
        </w:rPr>
        <w:t>附件</w:t>
      </w:r>
      <w:r>
        <w:rPr>
          <w:b/>
          <w:sz w:val="24"/>
          <w:szCs w:val="24"/>
        </w:rPr>
        <w:t>3:</w:t>
      </w:r>
      <w:r>
        <w:rPr>
          <w:rFonts w:hint="eastAsia"/>
          <w:b/>
          <w:sz w:val="24"/>
          <w:szCs w:val="24"/>
        </w:rPr>
        <w:t>非学位论文评审表</w:t>
      </w:r>
    </w:p>
    <w:tbl>
      <w:tblPr>
        <w:tblStyle w:val="12"/>
        <w:tblW w:w="12812" w:type="dxa"/>
        <w:tblInd w:w="108" w:type="dxa"/>
        <w:tblLayout w:type="autofit"/>
        <w:tblCellMar>
          <w:top w:w="0" w:type="dxa"/>
          <w:left w:w="108" w:type="dxa"/>
          <w:bottom w:w="0" w:type="dxa"/>
          <w:right w:w="108" w:type="dxa"/>
        </w:tblCellMar>
      </w:tblPr>
      <w:tblGrid>
        <w:gridCol w:w="7938"/>
        <w:gridCol w:w="2662"/>
        <w:gridCol w:w="536"/>
        <w:gridCol w:w="480"/>
        <w:gridCol w:w="480"/>
        <w:gridCol w:w="480"/>
        <w:gridCol w:w="236"/>
      </w:tblGrid>
      <w:tr w14:paraId="5B3CD965">
        <w:tblPrEx>
          <w:tblCellMar>
            <w:top w:w="0" w:type="dxa"/>
            <w:left w:w="108" w:type="dxa"/>
            <w:bottom w:w="0" w:type="dxa"/>
            <w:right w:w="108" w:type="dxa"/>
          </w:tblCellMar>
        </w:tblPrEx>
        <w:trPr>
          <w:gridAfter w:val="6"/>
          <w:wAfter w:w="4874" w:type="dxa"/>
          <w:trHeight w:val="450" w:hRule="atLeast"/>
        </w:trPr>
        <w:tc>
          <w:tcPr>
            <w:tcW w:w="7938" w:type="dxa"/>
            <w:tcBorders>
              <w:top w:val="nil"/>
              <w:left w:val="nil"/>
              <w:bottom w:val="nil"/>
              <w:right w:val="nil"/>
            </w:tcBorders>
            <w:noWrap/>
            <w:vAlign w:val="bottom"/>
          </w:tcPr>
          <w:p w14:paraId="28F507E6">
            <w:pPr>
              <w:widowControl/>
              <w:jc w:val="left"/>
              <w:rPr>
                <w:rFonts w:ascii="宋体" w:cs="宋体"/>
                <w:kern w:val="0"/>
                <w:sz w:val="20"/>
                <w:szCs w:val="20"/>
              </w:rPr>
            </w:pPr>
          </w:p>
        </w:tc>
      </w:tr>
      <w:tr w14:paraId="42FE67C4">
        <w:tblPrEx>
          <w:tblCellMar>
            <w:top w:w="0" w:type="dxa"/>
            <w:left w:w="108" w:type="dxa"/>
            <w:bottom w:w="0" w:type="dxa"/>
            <w:right w:w="108" w:type="dxa"/>
          </w:tblCellMar>
        </w:tblPrEx>
        <w:trPr>
          <w:trHeight w:val="2070" w:hRule="atLeast"/>
        </w:trPr>
        <w:tc>
          <w:tcPr>
            <w:tcW w:w="10600" w:type="dxa"/>
            <w:gridSpan w:val="2"/>
            <w:tcBorders>
              <w:top w:val="nil"/>
              <w:left w:val="nil"/>
              <w:bottom w:val="nil"/>
              <w:right w:val="nil"/>
            </w:tcBorders>
            <w:noWrap/>
            <w:vAlign w:val="bottom"/>
          </w:tcPr>
          <w:p w14:paraId="486CE589">
            <w:pPr>
              <w:widowControl/>
              <w:jc w:val="left"/>
              <w:rPr>
                <w:rFonts w:eastAsia="Times New Roman"/>
                <w:kern w:val="0"/>
                <w:sz w:val="20"/>
                <w:szCs w:val="20"/>
              </w:rPr>
            </w:pPr>
          </w:p>
        </w:tc>
        <w:tc>
          <w:tcPr>
            <w:tcW w:w="536" w:type="dxa"/>
            <w:tcBorders>
              <w:top w:val="nil"/>
              <w:left w:val="nil"/>
              <w:bottom w:val="nil"/>
              <w:right w:val="nil"/>
            </w:tcBorders>
            <w:noWrap/>
            <w:vAlign w:val="bottom"/>
          </w:tcPr>
          <w:p w14:paraId="14AE9D8D">
            <w:pPr>
              <w:widowControl/>
              <w:jc w:val="left"/>
              <w:rPr>
                <w:rFonts w:eastAsia="Times New Roman"/>
                <w:kern w:val="0"/>
                <w:sz w:val="20"/>
                <w:szCs w:val="20"/>
              </w:rPr>
            </w:pPr>
          </w:p>
        </w:tc>
        <w:tc>
          <w:tcPr>
            <w:tcW w:w="480" w:type="dxa"/>
            <w:tcBorders>
              <w:top w:val="nil"/>
              <w:left w:val="nil"/>
              <w:bottom w:val="nil"/>
              <w:right w:val="nil"/>
            </w:tcBorders>
            <w:noWrap/>
            <w:vAlign w:val="bottom"/>
          </w:tcPr>
          <w:p w14:paraId="09DEE977">
            <w:pPr>
              <w:widowControl/>
              <w:rPr>
                <w:rFonts w:eastAsia="Times New Roman"/>
                <w:kern w:val="0"/>
                <w:sz w:val="20"/>
                <w:szCs w:val="20"/>
              </w:rPr>
            </w:pPr>
          </w:p>
        </w:tc>
        <w:tc>
          <w:tcPr>
            <w:tcW w:w="480" w:type="dxa"/>
            <w:tcBorders>
              <w:top w:val="nil"/>
              <w:left w:val="nil"/>
              <w:bottom w:val="nil"/>
              <w:right w:val="nil"/>
            </w:tcBorders>
            <w:noWrap/>
            <w:vAlign w:val="bottom"/>
          </w:tcPr>
          <w:p w14:paraId="47AF3965">
            <w:pPr>
              <w:widowControl/>
              <w:jc w:val="left"/>
              <w:rPr>
                <w:rFonts w:eastAsia="Times New Roman"/>
                <w:kern w:val="0"/>
                <w:sz w:val="20"/>
                <w:szCs w:val="20"/>
              </w:rPr>
            </w:pPr>
          </w:p>
        </w:tc>
        <w:tc>
          <w:tcPr>
            <w:tcW w:w="480" w:type="dxa"/>
            <w:tcBorders>
              <w:top w:val="nil"/>
              <w:left w:val="nil"/>
              <w:bottom w:val="nil"/>
              <w:right w:val="nil"/>
            </w:tcBorders>
            <w:noWrap/>
            <w:vAlign w:val="bottom"/>
          </w:tcPr>
          <w:p w14:paraId="2839B641">
            <w:pPr>
              <w:widowControl/>
              <w:jc w:val="left"/>
              <w:rPr>
                <w:rFonts w:eastAsia="Times New Roman"/>
                <w:kern w:val="0"/>
                <w:sz w:val="20"/>
                <w:szCs w:val="20"/>
              </w:rPr>
            </w:pPr>
          </w:p>
        </w:tc>
        <w:tc>
          <w:tcPr>
            <w:tcW w:w="236" w:type="dxa"/>
            <w:tcBorders>
              <w:top w:val="nil"/>
              <w:left w:val="nil"/>
              <w:bottom w:val="nil"/>
              <w:right w:val="nil"/>
            </w:tcBorders>
            <w:noWrap/>
            <w:vAlign w:val="bottom"/>
          </w:tcPr>
          <w:p w14:paraId="491197EE">
            <w:pPr>
              <w:widowControl/>
              <w:jc w:val="left"/>
              <w:rPr>
                <w:rFonts w:eastAsia="Times New Roman"/>
                <w:kern w:val="0"/>
                <w:sz w:val="20"/>
                <w:szCs w:val="20"/>
              </w:rPr>
            </w:pPr>
          </w:p>
        </w:tc>
      </w:tr>
      <w:tr w14:paraId="0470F6FB">
        <w:tblPrEx>
          <w:tblCellMar>
            <w:top w:w="0" w:type="dxa"/>
            <w:left w:w="108" w:type="dxa"/>
            <w:bottom w:w="0" w:type="dxa"/>
            <w:right w:w="108" w:type="dxa"/>
          </w:tblCellMar>
        </w:tblPrEx>
        <w:trPr>
          <w:gridAfter w:val="6"/>
          <w:wAfter w:w="4874" w:type="dxa"/>
          <w:trHeight w:val="795" w:hRule="atLeast"/>
        </w:trPr>
        <w:tc>
          <w:tcPr>
            <w:tcW w:w="7938" w:type="dxa"/>
            <w:tcBorders>
              <w:top w:val="nil"/>
              <w:left w:val="nil"/>
              <w:bottom w:val="nil"/>
              <w:right w:val="nil"/>
            </w:tcBorders>
            <w:noWrap/>
            <w:vAlign w:val="bottom"/>
          </w:tcPr>
          <w:p w14:paraId="34DFB008">
            <w:pPr>
              <w:widowControl/>
              <w:jc w:val="center"/>
              <w:rPr>
                <w:rFonts w:ascii="宋体" w:cs="宋体"/>
                <w:b/>
                <w:bCs/>
                <w:kern w:val="0"/>
                <w:sz w:val="56"/>
                <w:szCs w:val="56"/>
              </w:rPr>
            </w:pPr>
            <w:r>
              <w:rPr>
                <w:rFonts w:hint="eastAsia" w:ascii="宋体" w:hAnsi="宋体" w:cs="宋体"/>
                <w:b/>
                <w:bCs/>
                <w:kern w:val="0"/>
                <w:sz w:val="56"/>
                <w:szCs w:val="56"/>
              </w:rPr>
              <w:t>国家开放大学</w:t>
            </w:r>
          </w:p>
        </w:tc>
      </w:tr>
      <w:tr w14:paraId="5F772842">
        <w:tblPrEx>
          <w:tblCellMar>
            <w:top w:w="0" w:type="dxa"/>
            <w:left w:w="108" w:type="dxa"/>
            <w:bottom w:w="0" w:type="dxa"/>
            <w:right w:w="108" w:type="dxa"/>
          </w:tblCellMar>
        </w:tblPrEx>
        <w:trPr>
          <w:gridAfter w:val="6"/>
          <w:wAfter w:w="4874" w:type="dxa"/>
          <w:trHeight w:val="1050" w:hRule="atLeast"/>
        </w:trPr>
        <w:tc>
          <w:tcPr>
            <w:tcW w:w="7938" w:type="dxa"/>
            <w:tcBorders>
              <w:top w:val="nil"/>
              <w:left w:val="nil"/>
              <w:bottom w:val="nil"/>
              <w:right w:val="nil"/>
            </w:tcBorders>
            <w:noWrap/>
            <w:vAlign w:val="bottom"/>
          </w:tcPr>
          <w:p w14:paraId="7CBFA703">
            <w:pPr>
              <w:widowControl/>
              <w:jc w:val="center"/>
              <w:rPr>
                <w:rFonts w:ascii="宋体" w:cs="宋体"/>
                <w:b/>
                <w:bCs/>
                <w:kern w:val="0"/>
                <w:sz w:val="56"/>
                <w:szCs w:val="56"/>
              </w:rPr>
            </w:pPr>
            <w:r>
              <w:rPr>
                <w:rFonts w:hint="eastAsia" w:ascii="宋体" w:hAnsi="宋体" w:cs="宋体"/>
                <w:b/>
                <w:bCs/>
                <w:kern w:val="0"/>
                <w:sz w:val="56"/>
                <w:szCs w:val="56"/>
              </w:rPr>
              <w:t>毕业论文评审表</w:t>
            </w:r>
          </w:p>
        </w:tc>
      </w:tr>
      <w:tr w14:paraId="3E4467E8">
        <w:tblPrEx>
          <w:tblCellMar>
            <w:top w:w="0" w:type="dxa"/>
            <w:left w:w="108" w:type="dxa"/>
            <w:bottom w:w="0" w:type="dxa"/>
            <w:right w:w="108" w:type="dxa"/>
          </w:tblCellMar>
        </w:tblPrEx>
        <w:trPr>
          <w:trHeight w:val="1425" w:hRule="atLeast"/>
        </w:trPr>
        <w:tc>
          <w:tcPr>
            <w:tcW w:w="10600" w:type="dxa"/>
            <w:gridSpan w:val="2"/>
            <w:tcBorders>
              <w:top w:val="nil"/>
              <w:left w:val="nil"/>
              <w:bottom w:val="nil"/>
              <w:right w:val="nil"/>
            </w:tcBorders>
            <w:noWrap/>
            <w:vAlign w:val="bottom"/>
          </w:tcPr>
          <w:tbl>
            <w:tblPr>
              <w:tblStyle w:val="12"/>
              <w:tblW w:w="8120" w:type="dxa"/>
              <w:tblInd w:w="0" w:type="dxa"/>
              <w:tblLayout w:type="autofit"/>
              <w:tblCellMar>
                <w:top w:w="0" w:type="dxa"/>
                <w:left w:w="108" w:type="dxa"/>
                <w:bottom w:w="0" w:type="dxa"/>
                <w:right w:w="108" w:type="dxa"/>
              </w:tblCellMar>
            </w:tblPr>
            <w:tblGrid>
              <w:gridCol w:w="1300"/>
              <w:gridCol w:w="6820"/>
            </w:tblGrid>
            <w:tr w14:paraId="5489AAED">
              <w:tblPrEx>
                <w:tblCellMar>
                  <w:top w:w="0" w:type="dxa"/>
                  <w:left w:w="108" w:type="dxa"/>
                  <w:bottom w:w="0" w:type="dxa"/>
                  <w:right w:w="108" w:type="dxa"/>
                </w:tblCellMar>
              </w:tblPrEx>
              <w:trPr>
                <w:trHeight w:val="1425" w:hRule="atLeast"/>
              </w:trPr>
              <w:tc>
                <w:tcPr>
                  <w:tcW w:w="1300" w:type="dxa"/>
                  <w:tcBorders>
                    <w:top w:val="nil"/>
                    <w:left w:val="nil"/>
                    <w:bottom w:val="nil"/>
                    <w:right w:val="nil"/>
                  </w:tcBorders>
                  <w:noWrap/>
                  <w:vAlign w:val="bottom"/>
                </w:tcPr>
                <w:p w14:paraId="795043B7">
                  <w:pPr>
                    <w:widowControl/>
                    <w:rPr>
                      <w:rFonts w:ascii="黑体" w:hAnsi="黑体" w:eastAsia="黑体" w:cs="宋体"/>
                      <w:kern w:val="0"/>
                      <w:sz w:val="32"/>
                      <w:szCs w:val="32"/>
                    </w:rPr>
                  </w:pPr>
                  <w:r>
                    <w:rPr>
                      <w:rFonts w:hint="eastAsia" w:ascii="黑体" w:hAnsi="黑体" w:eastAsia="黑体" w:cs="宋体"/>
                      <w:kern w:val="0"/>
                      <w:sz w:val="32"/>
                      <w:szCs w:val="32"/>
                    </w:rPr>
                    <w:t>题</w:t>
                  </w:r>
                  <w:r>
                    <w:rPr>
                      <w:rFonts w:ascii="黑体" w:hAnsi="黑体" w:eastAsia="黑体" w:cs="宋体"/>
                      <w:kern w:val="0"/>
                      <w:sz w:val="32"/>
                      <w:szCs w:val="32"/>
                    </w:rPr>
                    <w:t xml:space="preserve">  </w:t>
                  </w:r>
                  <w:r>
                    <w:rPr>
                      <w:rFonts w:hint="eastAsia" w:ascii="黑体" w:hAnsi="黑体" w:eastAsia="黑体" w:cs="宋体"/>
                      <w:kern w:val="0"/>
                      <w:sz w:val="32"/>
                      <w:szCs w:val="32"/>
                    </w:rPr>
                    <w:t>目</w:t>
                  </w:r>
                </w:p>
              </w:tc>
              <w:tc>
                <w:tcPr>
                  <w:tcW w:w="6820" w:type="dxa"/>
                  <w:tcBorders>
                    <w:top w:val="nil"/>
                    <w:left w:val="nil"/>
                    <w:bottom w:val="single" w:color="auto" w:sz="4" w:space="0"/>
                    <w:right w:val="nil"/>
                  </w:tcBorders>
                  <w:noWrap/>
                  <w:vAlign w:val="bottom"/>
                </w:tcPr>
                <w:p w14:paraId="1742B839">
                  <w:pPr>
                    <w:widowControl/>
                    <w:jc w:val="left"/>
                    <w:rPr>
                      <w:rFonts w:ascii="宋体" w:cs="宋体"/>
                      <w:kern w:val="0"/>
                      <w:sz w:val="32"/>
                      <w:szCs w:val="32"/>
                    </w:rPr>
                  </w:pPr>
                  <w:r>
                    <w:rPr>
                      <w:rFonts w:hint="eastAsia" w:ascii="宋体" w:hAnsi="宋体" w:cs="宋体"/>
                      <w:kern w:val="0"/>
                      <w:sz w:val="32"/>
                      <w:szCs w:val="32"/>
                    </w:rPr>
                    <w:t>　</w:t>
                  </w:r>
                </w:p>
                <w:p w14:paraId="75A2162E">
                  <w:pPr>
                    <w:widowControl/>
                    <w:jc w:val="left"/>
                    <w:rPr>
                      <w:rFonts w:ascii="宋体" w:cs="宋体"/>
                      <w:kern w:val="0"/>
                      <w:sz w:val="24"/>
                    </w:rPr>
                  </w:pPr>
                  <w:r>
                    <w:rPr>
                      <w:rFonts w:hint="eastAsia" w:ascii="宋体" w:hAnsi="宋体" w:cs="宋体"/>
                      <w:kern w:val="0"/>
                      <w:sz w:val="24"/>
                    </w:rPr>
                    <w:t>　</w:t>
                  </w:r>
                </w:p>
                <w:p w14:paraId="6639DABE">
                  <w:pPr>
                    <w:widowControl/>
                    <w:jc w:val="left"/>
                    <w:rPr>
                      <w:rFonts w:ascii="宋体" w:cs="宋体"/>
                      <w:kern w:val="0"/>
                      <w:sz w:val="24"/>
                    </w:rPr>
                  </w:pPr>
                  <w:r>
                    <w:rPr>
                      <w:rFonts w:hint="eastAsia" w:ascii="宋体" w:hAnsi="宋体" w:cs="宋体"/>
                      <w:kern w:val="0"/>
                      <w:sz w:val="24"/>
                    </w:rPr>
                    <w:t>　</w:t>
                  </w:r>
                  <w:r>
                    <w:rPr>
                      <w:rFonts w:hint="eastAsia"/>
                      <w:sz w:val="28"/>
                      <w:szCs w:val="28"/>
                    </w:rPr>
                    <w:t xml:space="preserve"> </w:t>
                  </w:r>
                </w:p>
              </w:tc>
            </w:tr>
          </w:tbl>
          <w:p w14:paraId="406F2242">
            <w:pPr>
              <w:widowControl/>
              <w:jc w:val="center"/>
              <w:rPr>
                <w:rFonts w:ascii="宋体" w:cs="宋体"/>
                <w:b/>
                <w:bCs/>
                <w:kern w:val="0"/>
                <w:sz w:val="56"/>
                <w:szCs w:val="56"/>
              </w:rPr>
            </w:pPr>
          </w:p>
        </w:tc>
        <w:tc>
          <w:tcPr>
            <w:tcW w:w="536" w:type="dxa"/>
            <w:tcBorders>
              <w:top w:val="nil"/>
              <w:left w:val="nil"/>
              <w:bottom w:val="nil"/>
              <w:right w:val="nil"/>
            </w:tcBorders>
            <w:noWrap/>
            <w:vAlign w:val="bottom"/>
          </w:tcPr>
          <w:p w14:paraId="028227DB">
            <w:pPr>
              <w:widowControl/>
              <w:rPr>
                <w:rFonts w:ascii="黑体" w:hAnsi="黑体" w:eastAsia="黑体" w:cs="宋体"/>
                <w:kern w:val="0"/>
                <w:sz w:val="32"/>
                <w:szCs w:val="32"/>
              </w:rPr>
            </w:pPr>
          </w:p>
        </w:tc>
        <w:tc>
          <w:tcPr>
            <w:tcW w:w="480" w:type="dxa"/>
            <w:tcBorders>
              <w:top w:val="nil"/>
              <w:left w:val="nil"/>
              <w:bottom w:val="single" w:color="auto" w:sz="4" w:space="0"/>
              <w:right w:val="nil"/>
            </w:tcBorders>
            <w:noWrap/>
            <w:vAlign w:val="bottom"/>
          </w:tcPr>
          <w:p w14:paraId="563FA2EC">
            <w:pPr>
              <w:widowControl/>
              <w:jc w:val="left"/>
              <w:rPr>
                <w:rFonts w:ascii="宋体" w:cs="宋体"/>
                <w:kern w:val="0"/>
                <w:sz w:val="32"/>
                <w:szCs w:val="32"/>
              </w:rPr>
            </w:pPr>
          </w:p>
        </w:tc>
        <w:tc>
          <w:tcPr>
            <w:tcW w:w="480" w:type="dxa"/>
            <w:tcBorders>
              <w:top w:val="nil"/>
              <w:left w:val="nil"/>
              <w:bottom w:val="single" w:color="auto" w:sz="4" w:space="0"/>
              <w:right w:val="nil"/>
            </w:tcBorders>
            <w:noWrap/>
            <w:vAlign w:val="bottom"/>
          </w:tcPr>
          <w:p w14:paraId="625A1193">
            <w:pPr>
              <w:widowControl/>
              <w:jc w:val="left"/>
              <w:rPr>
                <w:rFonts w:ascii="宋体" w:cs="宋体"/>
                <w:kern w:val="0"/>
                <w:sz w:val="24"/>
              </w:rPr>
            </w:pPr>
          </w:p>
        </w:tc>
        <w:tc>
          <w:tcPr>
            <w:tcW w:w="480" w:type="dxa"/>
            <w:tcBorders>
              <w:top w:val="nil"/>
              <w:left w:val="nil"/>
              <w:bottom w:val="single" w:color="auto" w:sz="4" w:space="0"/>
              <w:right w:val="nil"/>
            </w:tcBorders>
            <w:noWrap/>
            <w:vAlign w:val="bottom"/>
          </w:tcPr>
          <w:p w14:paraId="34611D14">
            <w:pPr>
              <w:widowControl/>
              <w:jc w:val="left"/>
              <w:rPr>
                <w:rFonts w:ascii="宋体" w:cs="宋体"/>
                <w:kern w:val="0"/>
                <w:sz w:val="24"/>
              </w:rPr>
            </w:pPr>
          </w:p>
        </w:tc>
        <w:tc>
          <w:tcPr>
            <w:tcW w:w="236" w:type="dxa"/>
            <w:tcBorders>
              <w:top w:val="nil"/>
              <w:left w:val="nil"/>
              <w:bottom w:val="nil"/>
              <w:right w:val="nil"/>
            </w:tcBorders>
            <w:noWrap/>
            <w:vAlign w:val="bottom"/>
          </w:tcPr>
          <w:p w14:paraId="0CA55898">
            <w:pPr>
              <w:widowControl/>
              <w:jc w:val="left"/>
              <w:rPr>
                <w:rFonts w:ascii="宋体" w:cs="宋体"/>
                <w:kern w:val="0"/>
                <w:sz w:val="24"/>
              </w:rPr>
            </w:pPr>
          </w:p>
        </w:tc>
      </w:tr>
      <w:tr w14:paraId="37213F15">
        <w:tblPrEx>
          <w:tblCellMar>
            <w:top w:w="0" w:type="dxa"/>
            <w:left w:w="108" w:type="dxa"/>
            <w:bottom w:w="0" w:type="dxa"/>
            <w:right w:w="108" w:type="dxa"/>
          </w:tblCellMar>
        </w:tblPrEx>
        <w:trPr>
          <w:trHeight w:val="1380" w:hRule="atLeast"/>
        </w:trPr>
        <w:tc>
          <w:tcPr>
            <w:tcW w:w="10600" w:type="dxa"/>
            <w:gridSpan w:val="2"/>
            <w:tcBorders>
              <w:top w:val="nil"/>
              <w:left w:val="nil"/>
              <w:bottom w:val="nil"/>
              <w:right w:val="nil"/>
            </w:tcBorders>
            <w:noWrap/>
            <w:vAlign w:val="bottom"/>
          </w:tcPr>
          <w:p w14:paraId="6152FAF5">
            <w:pPr>
              <w:widowControl/>
              <w:rPr>
                <w:kern w:val="0"/>
                <w:sz w:val="20"/>
                <w:szCs w:val="20"/>
                <w:u w:val="single"/>
              </w:rPr>
            </w:pPr>
            <w:r>
              <w:rPr>
                <w:kern w:val="0"/>
                <w:sz w:val="20"/>
                <w:szCs w:val="20"/>
              </w:rPr>
              <w:t xml:space="preserve">             </w:t>
            </w:r>
            <w:r>
              <w:rPr>
                <w:kern w:val="0"/>
                <w:sz w:val="20"/>
                <w:szCs w:val="20"/>
                <w:u w:val="single"/>
              </w:rPr>
              <w:t xml:space="preserve">                                                                    </w:t>
            </w:r>
          </w:p>
        </w:tc>
        <w:tc>
          <w:tcPr>
            <w:tcW w:w="536" w:type="dxa"/>
            <w:tcBorders>
              <w:top w:val="nil"/>
              <w:left w:val="nil"/>
              <w:bottom w:val="nil"/>
              <w:right w:val="nil"/>
            </w:tcBorders>
            <w:noWrap/>
            <w:vAlign w:val="bottom"/>
          </w:tcPr>
          <w:p w14:paraId="47727460">
            <w:pPr>
              <w:widowControl/>
              <w:rPr>
                <w:rFonts w:eastAsia="Times New Roman"/>
                <w:kern w:val="0"/>
                <w:sz w:val="20"/>
                <w:szCs w:val="20"/>
              </w:rPr>
            </w:pPr>
          </w:p>
        </w:tc>
        <w:tc>
          <w:tcPr>
            <w:tcW w:w="480" w:type="dxa"/>
            <w:tcBorders>
              <w:top w:val="nil"/>
              <w:left w:val="nil"/>
              <w:bottom w:val="nil"/>
              <w:right w:val="nil"/>
            </w:tcBorders>
            <w:noWrap/>
            <w:vAlign w:val="bottom"/>
          </w:tcPr>
          <w:p w14:paraId="0CE76BE2">
            <w:pPr>
              <w:widowControl/>
              <w:rPr>
                <w:rFonts w:eastAsia="Times New Roman"/>
                <w:kern w:val="0"/>
                <w:sz w:val="20"/>
                <w:szCs w:val="20"/>
              </w:rPr>
            </w:pPr>
          </w:p>
        </w:tc>
        <w:tc>
          <w:tcPr>
            <w:tcW w:w="480" w:type="dxa"/>
            <w:tcBorders>
              <w:top w:val="nil"/>
              <w:left w:val="nil"/>
              <w:bottom w:val="nil"/>
              <w:right w:val="nil"/>
            </w:tcBorders>
            <w:noWrap/>
            <w:vAlign w:val="bottom"/>
          </w:tcPr>
          <w:p w14:paraId="25226AE2">
            <w:pPr>
              <w:widowControl/>
              <w:rPr>
                <w:rFonts w:eastAsia="Times New Roman"/>
                <w:kern w:val="0"/>
                <w:sz w:val="20"/>
                <w:szCs w:val="20"/>
              </w:rPr>
            </w:pPr>
          </w:p>
        </w:tc>
        <w:tc>
          <w:tcPr>
            <w:tcW w:w="480" w:type="dxa"/>
            <w:tcBorders>
              <w:top w:val="nil"/>
              <w:left w:val="nil"/>
              <w:bottom w:val="nil"/>
              <w:right w:val="nil"/>
            </w:tcBorders>
            <w:noWrap/>
            <w:vAlign w:val="bottom"/>
          </w:tcPr>
          <w:p w14:paraId="346B3944">
            <w:pPr>
              <w:widowControl/>
              <w:rPr>
                <w:rFonts w:eastAsia="Times New Roman"/>
                <w:kern w:val="0"/>
                <w:sz w:val="20"/>
                <w:szCs w:val="20"/>
              </w:rPr>
            </w:pPr>
          </w:p>
        </w:tc>
        <w:tc>
          <w:tcPr>
            <w:tcW w:w="236" w:type="dxa"/>
            <w:tcBorders>
              <w:top w:val="nil"/>
              <w:left w:val="nil"/>
              <w:bottom w:val="nil"/>
              <w:right w:val="nil"/>
            </w:tcBorders>
            <w:noWrap/>
            <w:vAlign w:val="bottom"/>
          </w:tcPr>
          <w:p w14:paraId="1080C564">
            <w:pPr>
              <w:widowControl/>
              <w:rPr>
                <w:rFonts w:eastAsia="Times New Roman"/>
                <w:kern w:val="0"/>
                <w:sz w:val="20"/>
                <w:szCs w:val="20"/>
              </w:rPr>
            </w:pPr>
          </w:p>
        </w:tc>
      </w:tr>
      <w:tr w14:paraId="0B4A6835">
        <w:tblPrEx>
          <w:tblCellMar>
            <w:top w:w="0" w:type="dxa"/>
            <w:left w:w="108" w:type="dxa"/>
            <w:bottom w:w="0" w:type="dxa"/>
            <w:right w:w="108" w:type="dxa"/>
          </w:tblCellMar>
        </w:tblPrEx>
        <w:trPr>
          <w:trHeight w:val="660" w:hRule="atLeast"/>
        </w:trPr>
        <w:tc>
          <w:tcPr>
            <w:tcW w:w="10600" w:type="dxa"/>
            <w:gridSpan w:val="2"/>
            <w:tcBorders>
              <w:top w:val="nil"/>
              <w:left w:val="nil"/>
              <w:bottom w:val="nil"/>
              <w:right w:val="nil"/>
            </w:tcBorders>
            <w:noWrap/>
            <w:vAlign w:val="bottom"/>
          </w:tcPr>
          <w:tbl>
            <w:tblPr>
              <w:tblStyle w:val="12"/>
              <w:tblW w:w="8120" w:type="dxa"/>
              <w:tblInd w:w="0" w:type="dxa"/>
              <w:tblLayout w:type="autofit"/>
              <w:tblCellMar>
                <w:top w:w="0" w:type="dxa"/>
                <w:left w:w="108" w:type="dxa"/>
                <w:bottom w:w="0" w:type="dxa"/>
                <w:right w:w="108" w:type="dxa"/>
              </w:tblCellMar>
            </w:tblPr>
            <w:tblGrid>
              <w:gridCol w:w="1300"/>
              <w:gridCol w:w="2800"/>
              <w:gridCol w:w="1200"/>
              <w:gridCol w:w="2820"/>
            </w:tblGrid>
            <w:tr w14:paraId="2B9038DE">
              <w:tblPrEx>
                <w:tblCellMar>
                  <w:top w:w="0" w:type="dxa"/>
                  <w:left w:w="108" w:type="dxa"/>
                  <w:bottom w:w="0" w:type="dxa"/>
                  <w:right w:w="108" w:type="dxa"/>
                </w:tblCellMar>
              </w:tblPrEx>
              <w:trPr>
                <w:trHeight w:val="1200" w:hRule="atLeast"/>
              </w:trPr>
              <w:tc>
                <w:tcPr>
                  <w:tcW w:w="1300" w:type="dxa"/>
                  <w:tcBorders>
                    <w:top w:val="nil"/>
                    <w:left w:val="nil"/>
                    <w:bottom w:val="nil"/>
                    <w:right w:val="nil"/>
                  </w:tcBorders>
                  <w:noWrap/>
                  <w:vAlign w:val="bottom"/>
                </w:tcPr>
                <w:p w14:paraId="117DD37C">
                  <w:pPr>
                    <w:widowControl/>
                    <w:rPr>
                      <w:rFonts w:ascii="宋体" w:cs="宋体"/>
                      <w:kern w:val="0"/>
                      <w:sz w:val="24"/>
                    </w:rPr>
                  </w:pPr>
                  <w:r>
                    <w:rPr>
                      <w:rFonts w:hint="eastAsia" w:ascii="宋体" w:hAnsi="宋体" w:cs="宋体"/>
                      <w:kern w:val="0"/>
                      <w:sz w:val="24"/>
                    </w:rPr>
                    <w:t>姓名</w:t>
                  </w:r>
                </w:p>
              </w:tc>
              <w:tc>
                <w:tcPr>
                  <w:tcW w:w="2800" w:type="dxa"/>
                  <w:tcBorders>
                    <w:top w:val="nil"/>
                    <w:left w:val="nil"/>
                    <w:bottom w:val="single" w:color="auto" w:sz="4" w:space="0"/>
                    <w:right w:val="nil"/>
                  </w:tcBorders>
                  <w:noWrap/>
                  <w:vAlign w:val="bottom"/>
                </w:tcPr>
                <w:p w14:paraId="23270122">
                  <w:pPr>
                    <w:widowControl/>
                    <w:jc w:val="left"/>
                    <w:rPr>
                      <w:rFonts w:ascii="宋体" w:cs="宋体"/>
                      <w:kern w:val="0"/>
                      <w:sz w:val="24"/>
                    </w:rPr>
                  </w:pPr>
                  <w:r>
                    <w:rPr>
                      <w:rFonts w:hint="eastAsia" w:ascii="宋体" w:hAnsi="宋体" w:cs="宋体"/>
                      <w:kern w:val="0"/>
                      <w:sz w:val="24"/>
                    </w:rPr>
                    <w:t xml:space="preserve">　 </w:t>
                  </w:r>
                </w:p>
              </w:tc>
              <w:tc>
                <w:tcPr>
                  <w:tcW w:w="1200" w:type="dxa"/>
                  <w:tcBorders>
                    <w:top w:val="nil"/>
                    <w:left w:val="nil"/>
                    <w:bottom w:val="nil"/>
                    <w:right w:val="nil"/>
                  </w:tcBorders>
                  <w:noWrap/>
                  <w:vAlign w:val="bottom"/>
                </w:tcPr>
                <w:p w14:paraId="2A633AF6">
                  <w:pPr>
                    <w:widowControl/>
                    <w:rPr>
                      <w:rFonts w:ascii="宋体" w:cs="宋体"/>
                      <w:kern w:val="0"/>
                      <w:sz w:val="24"/>
                    </w:rPr>
                  </w:pPr>
                  <w:r>
                    <w:rPr>
                      <w:rFonts w:hint="eastAsia" w:ascii="宋体" w:hAnsi="宋体" w:cs="宋体"/>
                      <w:kern w:val="0"/>
                      <w:sz w:val="24"/>
                    </w:rPr>
                    <w:t>教育层次</w:t>
                  </w:r>
                </w:p>
              </w:tc>
              <w:tc>
                <w:tcPr>
                  <w:tcW w:w="2820" w:type="dxa"/>
                  <w:tcBorders>
                    <w:top w:val="nil"/>
                    <w:left w:val="nil"/>
                    <w:bottom w:val="single" w:color="auto" w:sz="4" w:space="0"/>
                    <w:right w:val="nil"/>
                  </w:tcBorders>
                  <w:noWrap/>
                  <w:vAlign w:val="bottom"/>
                </w:tcPr>
                <w:p w14:paraId="3BD9BF64">
                  <w:pPr>
                    <w:widowControl/>
                    <w:jc w:val="left"/>
                    <w:rPr>
                      <w:rFonts w:ascii="宋体" w:cs="宋体"/>
                      <w:kern w:val="0"/>
                      <w:sz w:val="24"/>
                    </w:rPr>
                  </w:pPr>
                  <w:r>
                    <w:rPr>
                      <w:rFonts w:hint="eastAsia" w:ascii="宋体" w:hAnsi="宋体" w:cs="宋体"/>
                      <w:kern w:val="0"/>
                      <w:sz w:val="24"/>
                    </w:rPr>
                    <w:t xml:space="preserve">　 </w:t>
                  </w:r>
                </w:p>
              </w:tc>
            </w:tr>
            <w:tr w14:paraId="407D6A43">
              <w:tblPrEx>
                <w:tblCellMar>
                  <w:top w:w="0" w:type="dxa"/>
                  <w:left w:w="108" w:type="dxa"/>
                  <w:bottom w:w="0" w:type="dxa"/>
                  <w:right w:w="108" w:type="dxa"/>
                </w:tblCellMar>
              </w:tblPrEx>
              <w:trPr>
                <w:trHeight w:val="1200" w:hRule="atLeast"/>
              </w:trPr>
              <w:tc>
                <w:tcPr>
                  <w:tcW w:w="1300" w:type="dxa"/>
                  <w:tcBorders>
                    <w:top w:val="nil"/>
                    <w:left w:val="nil"/>
                    <w:bottom w:val="nil"/>
                    <w:right w:val="nil"/>
                  </w:tcBorders>
                  <w:noWrap/>
                  <w:vAlign w:val="bottom"/>
                </w:tcPr>
                <w:p w14:paraId="56E278CF">
                  <w:pPr>
                    <w:widowControl/>
                    <w:rPr>
                      <w:rFonts w:ascii="宋体" w:cs="宋体"/>
                      <w:kern w:val="0"/>
                      <w:sz w:val="24"/>
                    </w:rPr>
                  </w:pPr>
                  <w:r>
                    <w:rPr>
                      <w:rFonts w:hint="eastAsia" w:ascii="宋体" w:hAnsi="宋体" w:cs="宋体"/>
                      <w:kern w:val="0"/>
                      <w:sz w:val="24"/>
                    </w:rPr>
                    <w:t>学号</w:t>
                  </w:r>
                </w:p>
              </w:tc>
              <w:tc>
                <w:tcPr>
                  <w:tcW w:w="2800" w:type="dxa"/>
                  <w:tcBorders>
                    <w:top w:val="nil"/>
                    <w:left w:val="nil"/>
                    <w:bottom w:val="single" w:color="auto" w:sz="4" w:space="0"/>
                    <w:right w:val="nil"/>
                  </w:tcBorders>
                  <w:noWrap/>
                  <w:vAlign w:val="bottom"/>
                </w:tcPr>
                <w:p w14:paraId="49418713">
                  <w:pPr>
                    <w:widowControl/>
                    <w:jc w:val="left"/>
                    <w:rPr>
                      <w:rFonts w:ascii="宋体" w:cs="宋体"/>
                      <w:kern w:val="0"/>
                      <w:sz w:val="24"/>
                    </w:rPr>
                  </w:pPr>
                  <w:r>
                    <w:rPr>
                      <w:rFonts w:hint="eastAsia" w:ascii="宋体" w:hAnsi="宋体" w:cs="宋体"/>
                      <w:kern w:val="0"/>
                      <w:sz w:val="24"/>
                    </w:rPr>
                    <w:t>　</w:t>
                  </w:r>
                  <w:r>
                    <w:rPr>
                      <w:rFonts w:ascii="宋体" w:hAnsi="宋体" w:cs="宋体"/>
                      <w:kern w:val="0"/>
                      <w:sz w:val="24"/>
                    </w:rPr>
                    <w:t xml:space="preserve"> </w:t>
                  </w:r>
                </w:p>
              </w:tc>
              <w:tc>
                <w:tcPr>
                  <w:tcW w:w="1200" w:type="dxa"/>
                  <w:tcBorders>
                    <w:top w:val="nil"/>
                    <w:left w:val="nil"/>
                    <w:bottom w:val="nil"/>
                    <w:right w:val="nil"/>
                  </w:tcBorders>
                  <w:noWrap/>
                  <w:vAlign w:val="bottom"/>
                </w:tcPr>
                <w:p w14:paraId="71E7B0A0">
                  <w:pPr>
                    <w:widowControl/>
                    <w:rPr>
                      <w:rFonts w:ascii="宋体" w:cs="宋体"/>
                      <w:kern w:val="0"/>
                      <w:sz w:val="24"/>
                    </w:rPr>
                  </w:pPr>
                  <w:r>
                    <w:rPr>
                      <w:rFonts w:hint="eastAsia" w:ascii="宋体" w:hAnsi="宋体" w:cs="宋体"/>
                      <w:kern w:val="0"/>
                      <w:sz w:val="24"/>
                    </w:rPr>
                    <w:t>分</w:t>
                  </w:r>
                  <w:r>
                    <w:rPr>
                      <w:rFonts w:ascii="宋体" w:hAnsi="宋体" w:cs="宋体"/>
                      <w:kern w:val="0"/>
                      <w:sz w:val="24"/>
                    </w:rPr>
                    <w:t xml:space="preserve">    </w:t>
                  </w:r>
                  <w:r>
                    <w:rPr>
                      <w:rFonts w:hint="eastAsia" w:ascii="宋体" w:hAnsi="宋体" w:cs="宋体"/>
                      <w:kern w:val="0"/>
                      <w:sz w:val="24"/>
                    </w:rPr>
                    <w:t>部</w:t>
                  </w:r>
                </w:p>
              </w:tc>
              <w:tc>
                <w:tcPr>
                  <w:tcW w:w="2820" w:type="dxa"/>
                  <w:tcBorders>
                    <w:top w:val="nil"/>
                    <w:left w:val="nil"/>
                    <w:bottom w:val="single" w:color="auto" w:sz="4" w:space="0"/>
                    <w:right w:val="nil"/>
                  </w:tcBorders>
                  <w:noWrap/>
                  <w:vAlign w:val="bottom"/>
                </w:tcPr>
                <w:p w14:paraId="606FEA53">
                  <w:pPr>
                    <w:widowControl/>
                    <w:jc w:val="left"/>
                    <w:rPr>
                      <w:rFonts w:ascii="宋体" w:cs="宋体"/>
                      <w:kern w:val="0"/>
                      <w:sz w:val="24"/>
                    </w:rPr>
                  </w:pPr>
                  <w:r>
                    <w:rPr>
                      <w:rFonts w:hint="eastAsia" w:ascii="宋体" w:hAnsi="宋体" w:cs="宋体"/>
                      <w:kern w:val="0"/>
                      <w:sz w:val="24"/>
                    </w:rPr>
                    <w:t>　福建分部</w:t>
                  </w:r>
                </w:p>
              </w:tc>
            </w:tr>
            <w:tr w14:paraId="65831299">
              <w:tblPrEx>
                <w:tblCellMar>
                  <w:top w:w="0" w:type="dxa"/>
                  <w:left w:w="108" w:type="dxa"/>
                  <w:bottom w:w="0" w:type="dxa"/>
                  <w:right w:w="108" w:type="dxa"/>
                </w:tblCellMar>
              </w:tblPrEx>
              <w:trPr>
                <w:trHeight w:val="1200" w:hRule="atLeast"/>
              </w:trPr>
              <w:tc>
                <w:tcPr>
                  <w:tcW w:w="1300" w:type="dxa"/>
                  <w:tcBorders>
                    <w:top w:val="nil"/>
                    <w:left w:val="nil"/>
                    <w:bottom w:val="nil"/>
                    <w:right w:val="nil"/>
                  </w:tcBorders>
                  <w:noWrap/>
                  <w:vAlign w:val="bottom"/>
                </w:tcPr>
                <w:p w14:paraId="26626CB3">
                  <w:pPr>
                    <w:widowControl/>
                    <w:rPr>
                      <w:rFonts w:ascii="宋体" w:cs="宋体"/>
                      <w:kern w:val="0"/>
                      <w:sz w:val="24"/>
                    </w:rPr>
                  </w:pPr>
                  <w:r>
                    <w:rPr>
                      <w:rFonts w:hint="eastAsia" w:ascii="宋体" w:hAnsi="宋体" w:cs="宋体"/>
                      <w:kern w:val="0"/>
                      <w:sz w:val="24"/>
                    </w:rPr>
                    <w:t>专业</w:t>
                  </w:r>
                </w:p>
              </w:tc>
              <w:tc>
                <w:tcPr>
                  <w:tcW w:w="2800" w:type="dxa"/>
                  <w:tcBorders>
                    <w:top w:val="nil"/>
                    <w:left w:val="nil"/>
                    <w:bottom w:val="single" w:color="auto" w:sz="4" w:space="0"/>
                    <w:right w:val="nil"/>
                  </w:tcBorders>
                  <w:noWrap/>
                  <w:vAlign w:val="bottom"/>
                </w:tcPr>
                <w:p w14:paraId="28F0D922">
                  <w:pPr>
                    <w:widowControl/>
                    <w:jc w:val="left"/>
                    <w:rPr>
                      <w:rFonts w:ascii="宋体" w:cs="宋体"/>
                      <w:kern w:val="0"/>
                      <w:sz w:val="24"/>
                    </w:rPr>
                  </w:pPr>
                  <w:r>
                    <w:rPr>
                      <w:rFonts w:hint="eastAsia" w:ascii="宋体" w:hAnsi="宋体" w:cs="宋体"/>
                      <w:kern w:val="0"/>
                      <w:sz w:val="24"/>
                    </w:rPr>
                    <w:t xml:space="preserve">　 </w:t>
                  </w:r>
                </w:p>
              </w:tc>
              <w:tc>
                <w:tcPr>
                  <w:tcW w:w="1200" w:type="dxa"/>
                  <w:tcBorders>
                    <w:top w:val="nil"/>
                    <w:left w:val="nil"/>
                    <w:bottom w:val="nil"/>
                    <w:right w:val="nil"/>
                  </w:tcBorders>
                  <w:noWrap/>
                  <w:vAlign w:val="bottom"/>
                </w:tcPr>
                <w:p w14:paraId="3AC6B97B">
                  <w:pPr>
                    <w:widowControl/>
                    <w:ind w:firstLine="240" w:firstLineChars="100"/>
                    <w:rPr>
                      <w:rFonts w:ascii="宋体" w:cs="宋体"/>
                      <w:kern w:val="0"/>
                      <w:sz w:val="24"/>
                    </w:rPr>
                  </w:pPr>
                  <w:r>
                    <w:rPr>
                      <w:rFonts w:hint="eastAsia" w:ascii="宋体" w:hAnsi="宋体" w:cs="宋体"/>
                      <w:kern w:val="0"/>
                      <w:sz w:val="24"/>
                    </w:rPr>
                    <w:t>学院</w:t>
                  </w:r>
                </w:p>
                <w:p w14:paraId="74C66C23">
                  <w:pPr>
                    <w:widowControl/>
                    <w:rPr>
                      <w:rFonts w:ascii="宋体" w:cs="宋体"/>
                      <w:kern w:val="0"/>
                      <w:sz w:val="24"/>
                    </w:rPr>
                  </w:pPr>
                  <w:r>
                    <w:rPr>
                      <w:rFonts w:hint="eastAsia" w:ascii="宋体" w:hAnsi="宋体" w:cs="宋体"/>
                      <w:kern w:val="0"/>
                      <w:sz w:val="24"/>
                    </w:rPr>
                    <w:t>（分校）</w:t>
                  </w:r>
                </w:p>
              </w:tc>
              <w:tc>
                <w:tcPr>
                  <w:tcW w:w="2820" w:type="dxa"/>
                  <w:tcBorders>
                    <w:top w:val="nil"/>
                    <w:left w:val="nil"/>
                    <w:bottom w:val="single" w:color="auto" w:sz="4" w:space="0"/>
                    <w:right w:val="nil"/>
                  </w:tcBorders>
                  <w:noWrap/>
                  <w:vAlign w:val="bottom"/>
                </w:tcPr>
                <w:p w14:paraId="7B2F6D5A">
                  <w:pPr>
                    <w:widowControl/>
                    <w:jc w:val="left"/>
                    <w:rPr>
                      <w:rFonts w:ascii="宋体" w:cs="宋体"/>
                      <w:kern w:val="0"/>
                      <w:sz w:val="24"/>
                    </w:rPr>
                  </w:pPr>
                  <w:r>
                    <w:rPr>
                      <w:rFonts w:hint="eastAsia" w:ascii="宋体" w:hAnsi="宋体" w:cs="宋体"/>
                      <w:kern w:val="0"/>
                      <w:sz w:val="24"/>
                    </w:rPr>
                    <w:t xml:space="preserve">　 </w:t>
                  </w:r>
                </w:p>
              </w:tc>
            </w:tr>
            <w:tr w14:paraId="55BA4E5A">
              <w:tblPrEx>
                <w:tblCellMar>
                  <w:top w:w="0" w:type="dxa"/>
                  <w:left w:w="108" w:type="dxa"/>
                  <w:bottom w:w="0" w:type="dxa"/>
                  <w:right w:w="108" w:type="dxa"/>
                </w:tblCellMar>
              </w:tblPrEx>
              <w:trPr>
                <w:trHeight w:val="1200" w:hRule="atLeast"/>
              </w:trPr>
              <w:tc>
                <w:tcPr>
                  <w:tcW w:w="1300" w:type="dxa"/>
                  <w:tcBorders>
                    <w:top w:val="nil"/>
                    <w:left w:val="nil"/>
                    <w:bottom w:val="nil"/>
                    <w:right w:val="nil"/>
                  </w:tcBorders>
                  <w:noWrap/>
                  <w:vAlign w:val="bottom"/>
                </w:tcPr>
                <w:p w14:paraId="706D6FFD">
                  <w:pPr>
                    <w:widowControl/>
                    <w:rPr>
                      <w:rFonts w:ascii="宋体" w:cs="宋体"/>
                      <w:kern w:val="0"/>
                      <w:sz w:val="24"/>
                    </w:rPr>
                  </w:pPr>
                  <w:r>
                    <w:rPr>
                      <w:rFonts w:hint="eastAsia" w:ascii="宋体" w:hAnsi="宋体" w:cs="宋体"/>
                      <w:kern w:val="0"/>
                      <w:sz w:val="24"/>
                    </w:rPr>
                    <w:t>指导教师</w:t>
                  </w:r>
                </w:p>
              </w:tc>
              <w:tc>
                <w:tcPr>
                  <w:tcW w:w="2800" w:type="dxa"/>
                  <w:tcBorders>
                    <w:top w:val="nil"/>
                    <w:left w:val="nil"/>
                    <w:bottom w:val="single" w:color="auto" w:sz="4" w:space="0"/>
                    <w:right w:val="nil"/>
                  </w:tcBorders>
                  <w:noWrap/>
                  <w:vAlign w:val="bottom"/>
                </w:tcPr>
                <w:p w14:paraId="316E3924">
                  <w:pPr>
                    <w:widowControl/>
                    <w:jc w:val="left"/>
                    <w:rPr>
                      <w:rFonts w:ascii="宋体" w:cs="宋体"/>
                      <w:kern w:val="0"/>
                      <w:sz w:val="24"/>
                    </w:rPr>
                  </w:pPr>
                  <w:r>
                    <w:rPr>
                      <w:rFonts w:hint="eastAsia" w:ascii="宋体" w:hAnsi="宋体" w:cs="宋体"/>
                      <w:kern w:val="0"/>
                      <w:sz w:val="24"/>
                    </w:rPr>
                    <w:t xml:space="preserve">　 </w:t>
                  </w:r>
                </w:p>
              </w:tc>
              <w:tc>
                <w:tcPr>
                  <w:tcW w:w="1200" w:type="dxa"/>
                  <w:tcBorders>
                    <w:top w:val="nil"/>
                    <w:left w:val="nil"/>
                    <w:bottom w:val="nil"/>
                    <w:right w:val="nil"/>
                  </w:tcBorders>
                  <w:noWrap/>
                  <w:vAlign w:val="bottom"/>
                </w:tcPr>
                <w:p w14:paraId="6C92FA35">
                  <w:pPr>
                    <w:widowControl/>
                    <w:rPr>
                      <w:rFonts w:ascii="宋体" w:cs="宋体"/>
                      <w:kern w:val="0"/>
                      <w:sz w:val="24"/>
                    </w:rPr>
                  </w:pPr>
                  <w:r>
                    <w:rPr>
                      <w:rFonts w:hint="eastAsia" w:ascii="宋体" w:hAnsi="宋体" w:cs="宋体"/>
                      <w:kern w:val="0"/>
                      <w:sz w:val="24"/>
                    </w:rPr>
                    <w:t>学习中心</w:t>
                  </w:r>
                </w:p>
              </w:tc>
              <w:tc>
                <w:tcPr>
                  <w:tcW w:w="2820" w:type="dxa"/>
                  <w:tcBorders>
                    <w:top w:val="nil"/>
                    <w:left w:val="nil"/>
                    <w:bottom w:val="single" w:color="auto" w:sz="4" w:space="0"/>
                    <w:right w:val="nil"/>
                  </w:tcBorders>
                  <w:noWrap/>
                  <w:vAlign w:val="bottom"/>
                </w:tcPr>
                <w:p w14:paraId="5D95C52E">
                  <w:pPr>
                    <w:widowControl/>
                    <w:jc w:val="left"/>
                    <w:rPr>
                      <w:rFonts w:ascii="宋体" w:cs="宋体"/>
                      <w:kern w:val="0"/>
                      <w:sz w:val="24"/>
                    </w:rPr>
                  </w:pPr>
                  <w:r>
                    <w:rPr>
                      <w:rFonts w:hint="eastAsia" w:ascii="宋体" w:hAnsi="宋体" w:cs="宋体"/>
                      <w:kern w:val="0"/>
                      <w:sz w:val="24"/>
                    </w:rPr>
                    <w:t xml:space="preserve">　 </w:t>
                  </w:r>
                </w:p>
              </w:tc>
            </w:tr>
          </w:tbl>
          <w:p w14:paraId="675CA7F6">
            <w:pPr>
              <w:widowControl/>
              <w:jc w:val="left"/>
              <w:rPr>
                <w:rFonts w:eastAsia="Times New Roman"/>
                <w:kern w:val="0"/>
                <w:sz w:val="20"/>
                <w:szCs w:val="20"/>
              </w:rPr>
            </w:pPr>
          </w:p>
        </w:tc>
        <w:tc>
          <w:tcPr>
            <w:tcW w:w="536" w:type="dxa"/>
            <w:tcBorders>
              <w:top w:val="nil"/>
              <w:left w:val="nil"/>
              <w:bottom w:val="nil"/>
              <w:right w:val="nil"/>
            </w:tcBorders>
            <w:noWrap/>
            <w:vAlign w:val="bottom"/>
          </w:tcPr>
          <w:p w14:paraId="68A47D54">
            <w:pPr>
              <w:widowControl/>
              <w:jc w:val="left"/>
              <w:rPr>
                <w:rFonts w:eastAsia="Times New Roman"/>
                <w:kern w:val="0"/>
                <w:sz w:val="20"/>
                <w:szCs w:val="20"/>
              </w:rPr>
            </w:pPr>
          </w:p>
        </w:tc>
        <w:tc>
          <w:tcPr>
            <w:tcW w:w="480" w:type="dxa"/>
            <w:tcBorders>
              <w:top w:val="nil"/>
              <w:left w:val="nil"/>
              <w:bottom w:val="nil"/>
              <w:right w:val="nil"/>
            </w:tcBorders>
            <w:noWrap/>
            <w:vAlign w:val="bottom"/>
          </w:tcPr>
          <w:p w14:paraId="0968EE1D">
            <w:pPr>
              <w:widowControl/>
              <w:jc w:val="left"/>
              <w:rPr>
                <w:rFonts w:eastAsia="Times New Roman"/>
                <w:kern w:val="0"/>
                <w:sz w:val="20"/>
                <w:szCs w:val="20"/>
              </w:rPr>
            </w:pPr>
          </w:p>
        </w:tc>
        <w:tc>
          <w:tcPr>
            <w:tcW w:w="480" w:type="dxa"/>
            <w:tcBorders>
              <w:top w:val="nil"/>
              <w:left w:val="nil"/>
              <w:bottom w:val="nil"/>
              <w:right w:val="nil"/>
            </w:tcBorders>
            <w:noWrap/>
            <w:vAlign w:val="bottom"/>
          </w:tcPr>
          <w:p w14:paraId="198385E9">
            <w:pPr>
              <w:widowControl/>
              <w:jc w:val="left"/>
              <w:rPr>
                <w:rFonts w:eastAsia="Times New Roman"/>
                <w:kern w:val="0"/>
                <w:sz w:val="20"/>
                <w:szCs w:val="20"/>
              </w:rPr>
            </w:pPr>
          </w:p>
        </w:tc>
        <w:tc>
          <w:tcPr>
            <w:tcW w:w="480" w:type="dxa"/>
            <w:tcBorders>
              <w:top w:val="nil"/>
              <w:left w:val="nil"/>
              <w:bottom w:val="nil"/>
              <w:right w:val="nil"/>
            </w:tcBorders>
            <w:noWrap/>
            <w:vAlign w:val="bottom"/>
          </w:tcPr>
          <w:p w14:paraId="65B4F809">
            <w:pPr>
              <w:widowControl/>
              <w:jc w:val="left"/>
              <w:rPr>
                <w:rFonts w:eastAsia="Times New Roman"/>
                <w:kern w:val="0"/>
                <w:sz w:val="20"/>
                <w:szCs w:val="20"/>
              </w:rPr>
            </w:pPr>
          </w:p>
        </w:tc>
        <w:tc>
          <w:tcPr>
            <w:tcW w:w="236" w:type="dxa"/>
            <w:tcBorders>
              <w:top w:val="nil"/>
              <w:left w:val="nil"/>
              <w:bottom w:val="nil"/>
              <w:right w:val="nil"/>
            </w:tcBorders>
            <w:noWrap/>
            <w:vAlign w:val="bottom"/>
          </w:tcPr>
          <w:p w14:paraId="6A9C5A8B">
            <w:pPr>
              <w:widowControl/>
              <w:jc w:val="left"/>
              <w:rPr>
                <w:rFonts w:eastAsia="Times New Roman"/>
                <w:kern w:val="0"/>
                <w:sz w:val="20"/>
                <w:szCs w:val="20"/>
              </w:rPr>
            </w:pPr>
          </w:p>
        </w:tc>
      </w:tr>
    </w:tbl>
    <w:p w14:paraId="408C6756">
      <w:pPr>
        <w:spacing w:line="520" w:lineRule="exact"/>
        <w:jc w:val="left"/>
        <w:rPr>
          <w:bCs/>
          <w:sz w:val="24"/>
        </w:rPr>
      </w:pPr>
      <w:r>
        <w:br w:type="page"/>
      </w:r>
      <w:r>
        <w:t xml:space="preserve"> </w:t>
      </w:r>
      <w:r>
        <w:rPr>
          <w:rFonts w:hint="eastAsia"/>
        </w:rPr>
        <w:t>一</w:t>
      </w:r>
      <w:r>
        <w:rPr>
          <w:rFonts w:hint="eastAsia"/>
          <w:sz w:val="24"/>
        </w:rPr>
        <w:t>、论文指导过程</w:t>
      </w:r>
    </w:p>
    <w:tbl>
      <w:tblPr>
        <w:tblStyle w:val="12"/>
        <w:tblW w:w="910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8"/>
        <w:gridCol w:w="8536"/>
      </w:tblGrid>
      <w:tr w14:paraId="7532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0" w:hRule="atLeast"/>
        </w:trPr>
        <w:tc>
          <w:tcPr>
            <w:tcW w:w="568" w:type="dxa"/>
            <w:vAlign w:val="center"/>
          </w:tcPr>
          <w:p w14:paraId="65651CEA">
            <w:pPr>
              <w:spacing w:line="360" w:lineRule="exact"/>
              <w:jc w:val="center"/>
              <w:rPr>
                <w:sz w:val="24"/>
              </w:rPr>
            </w:pPr>
            <w:r>
              <w:rPr>
                <w:rFonts w:hint="eastAsia"/>
                <w:sz w:val="24"/>
              </w:rPr>
              <w:t>选题</w:t>
            </w:r>
          </w:p>
          <w:p w14:paraId="73133291">
            <w:pPr>
              <w:spacing w:line="360" w:lineRule="exact"/>
              <w:jc w:val="center"/>
              <w:rPr>
                <w:sz w:val="24"/>
              </w:rPr>
            </w:pPr>
            <w:r>
              <w:rPr>
                <w:rFonts w:hint="eastAsia"/>
                <w:sz w:val="24"/>
              </w:rPr>
              <w:t>及开题</w:t>
            </w:r>
            <w:r>
              <w:rPr>
                <w:sz w:val="24"/>
              </w:rPr>
              <w:t xml:space="preserve"> </w:t>
            </w:r>
            <w:r>
              <w:rPr>
                <w:rFonts w:hint="eastAsia"/>
                <w:sz w:val="24"/>
              </w:rPr>
              <w:t>指</w:t>
            </w:r>
            <w:r>
              <w:rPr>
                <w:sz w:val="24"/>
              </w:rPr>
              <w:t xml:space="preserve"> </w:t>
            </w:r>
            <w:r>
              <w:rPr>
                <w:rFonts w:hint="eastAsia"/>
                <w:sz w:val="24"/>
              </w:rPr>
              <w:t>导</w:t>
            </w:r>
          </w:p>
        </w:tc>
        <w:tc>
          <w:tcPr>
            <w:tcW w:w="8536" w:type="dxa"/>
          </w:tcPr>
          <w:p w14:paraId="4287E4A7">
            <w:pPr>
              <w:spacing w:line="360" w:lineRule="exact"/>
              <w:rPr>
                <w:sz w:val="24"/>
              </w:rPr>
            </w:pPr>
            <w:r>
              <w:rPr>
                <w:rFonts w:hint="eastAsia"/>
                <w:sz w:val="24"/>
              </w:rPr>
              <w:t>指导时间：</w:t>
            </w:r>
            <w:r>
              <w:rPr>
                <w:sz w:val="24"/>
              </w:rPr>
              <w:t xml:space="preserve"> </w:t>
            </w:r>
          </w:p>
          <w:p w14:paraId="725BBDCC">
            <w:pPr>
              <w:spacing w:line="360" w:lineRule="exact"/>
              <w:rPr>
                <w:sz w:val="24"/>
              </w:rPr>
            </w:pPr>
            <w:r>
              <w:rPr>
                <w:rFonts w:hint="eastAsia"/>
                <w:sz w:val="24"/>
              </w:rPr>
              <w:t>指导内容：</w:t>
            </w:r>
          </w:p>
          <w:p w14:paraId="448D20DD">
            <w:pPr>
              <w:rPr>
                <w:sz w:val="24"/>
              </w:rPr>
            </w:pPr>
          </w:p>
        </w:tc>
      </w:tr>
      <w:tr w14:paraId="0E2CC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5" w:hRule="atLeast"/>
        </w:trPr>
        <w:tc>
          <w:tcPr>
            <w:tcW w:w="568" w:type="dxa"/>
            <w:vAlign w:val="center"/>
          </w:tcPr>
          <w:p w14:paraId="2F1FEB06">
            <w:pPr>
              <w:spacing w:line="360" w:lineRule="exact"/>
              <w:jc w:val="center"/>
              <w:rPr>
                <w:sz w:val="24"/>
              </w:rPr>
            </w:pPr>
            <w:r>
              <w:rPr>
                <w:rFonts w:hint="eastAsia"/>
                <w:sz w:val="24"/>
              </w:rPr>
              <w:t>初稿</w:t>
            </w:r>
            <w:r>
              <w:rPr>
                <w:sz w:val="24"/>
              </w:rPr>
              <w:t xml:space="preserve"> </w:t>
            </w:r>
            <w:r>
              <w:rPr>
                <w:rFonts w:hint="eastAsia"/>
                <w:sz w:val="24"/>
              </w:rPr>
              <w:t>指</w:t>
            </w:r>
            <w:r>
              <w:rPr>
                <w:sz w:val="24"/>
              </w:rPr>
              <w:t xml:space="preserve"> </w:t>
            </w:r>
            <w:r>
              <w:rPr>
                <w:rFonts w:hint="eastAsia"/>
                <w:sz w:val="24"/>
              </w:rPr>
              <w:t>导</w:t>
            </w:r>
          </w:p>
        </w:tc>
        <w:tc>
          <w:tcPr>
            <w:tcW w:w="8536" w:type="dxa"/>
          </w:tcPr>
          <w:p w14:paraId="76882084">
            <w:pPr>
              <w:spacing w:line="360" w:lineRule="exact"/>
              <w:rPr>
                <w:sz w:val="24"/>
              </w:rPr>
            </w:pPr>
            <w:r>
              <w:rPr>
                <w:rFonts w:hint="eastAsia"/>
                <w:sz w:val="24"/>
              </w:rPr>
              <w:t>指导时间：</w:t>
            </w:r>
            <w:r>
              <w:rPr>
                <w:sz w:val="24"/>
              </w:rPr>
              <w:t xml:space="preserve"> </w:t>
            </w:r>
          </w:p>
          <w:p w14:paraId="5F5451E6">
            <w:pPr>
              <w:spacing w:line="360" w:lineRule="exact"/>
              <w:rPr>
                <w:sz w:val="24"/>
              </w:rPr>
            </w:pPr>
            <w:r>
              <w:rPr>
                <w:rFonts w:hint="eastAsia"/>
                <w:sz w:val="24"/>
              </w:rPr>
              <w:t>指导内容：</w:t>
            </w:r>
          </w:p>
          <w:p w14:paraId="40D6DEC3">
            <w:pPr>
              <w:widowControl/>
              <w:shd w:val="clear" w:color="auto" w:fill="FFFFFF"/>
              <w:ind w:left="360"/>
              <w:jc w:val="left"/>
              <w:rPr>
                <w:sz w:val="24"/>
              </w:rPr>
            </w:pPr>
          </w:p>
        </w:tc>
      </w:tr>
      <w:tr w14:paraId="14FAF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1" w:hRule="atLeast"/>
        </w:trPr>
        <w:tc>
          <w:tcPr>
            <w:tcW w:w="568" w:type="dxa"/>
            <w:vAlign w:val="center"/>
          </w:tcPr>
          <w:p w14:paraId="662E4BF0">
            <w:pPr>
              <w:spacing w:line="360" w:lineRule="exact"/>
              <w:jc w:val="center"/>
              <w:rPr>
                <w:sz w:val="24"/>
              </w:rPr>
            </w:pPr>
            <w:r>
              <w:rPr>
                <w:rFonts w:hint="eastAsia"/>
                <w:sz w:val="24"/>
              </w:rPr>
              <w:t>修改稿</w:t>
            </w:r>
            <w:r>
              <w:rPr>
                <w:sz w:val="24"/>
              </w:rPr>
              <w:t xml:space="preserve"> </w:t>
            </w:r>
            <w:r>
              <w:rPr>
                <w:rFonts w:hint="eastAsia"/>
                <w:sz w:val="24"/>
              </w:rPr>
              <w:t>指</w:t>
            </w:r>
            <w:r>
              <w:rPr>
                <w:sz w:val="24"/>
              </w:rPr>
              <w:t xml:space="preserve"> </w:t>
            </w:r>
            <w:r>
              <w:rPr>
                <w:rFonts w:hint="eastAsia"/>
                <w:sz w:val="24"/>
              </w:rPr>
              <w:t>导</w:t>
            </w:r>
          </w:p>
        </w:tc>
        <w:tc>
          <w:tcPr>
            <w:tcW w:w="8536" w:type="dxa"/>
          </w:tcPr>
          <w:p w14:paraId="1924332C">
            <w:pPr>
              <w:spacing w:line="360" w:lineRule="exact"/>
              <w:rPr>
                <w:sz w:val="24"/>
              </w:rPr>
            </w:pPr>
            <w:r>
              <w:rPr>
                <w:rFonts w:hint="eastAsia"/>
                <w:sz w:val="24"/>
              </w:rPr>
              <w:t>指导时间：</w:t>
            </w:r>
          </w:p>
          <w:p w14:paraId="1CCBD190">
            <w:pPr>
              <w:spacing w:line="360" w:lineRule="exact"/>
              <w:rPr>
                <w:sz w:val="24"/>
              </w:rPr>
            </w:pPr>
            <w:r>
              <w:rPr>
                <w:rFonts w:hint="eastAsia"/>
                <w:sz w:val="24"/>
              </w:rPr>
              <w:t>指导内容：</w:t>
            </w:r>
          </w:p>
          <w:p w14:paraId="52334C17">
            <w:pPr>
              <w:ind w:left="360"/>
              <w:rPr>
                <w:sz w:val="24"/>
              </w:rPr>
            </w:pPr>
          </w:p>
        </w:tc>
      </w:tr>
      <w:tr w14:paraId="47CBB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9" w:hRule="atLeast"/>
        </w:trPr>
        <w:tc>
          <w:tcPr>
            <w:tcW w:w="568" w:type="dxa"/>
            <w:vAlign w:val="center"/>
          </w:tcPr>
          <w:p w14:paraId="7A42C578">
            <w:pPr>
              <w:spacing w:line="360" w:lineRule="exact"/>
              <w:jc w:val="center"/>
              <w:rPr>
                <w:sz w:val="24"/>
              </w:rPr>
            </w:pPr>
            <w:r>
              <w:rPr>
                <w:rFonts w:hint="eastAsia"/>
                <w:sz w:val="24"/>
              </w:rPr>
              <w:t>终稿</w:t>
            </w:r>
          </w:p>
          <w:p w14:paraId="6E9E829A">
            <w:pPr>
              <w:spacing w:line="360" w:lineRule="exact"/>
              <w:jc w:val="center"/>
              <w:rPr>
                <w:sz w:val="24"/>
              </w:rPr>
            </w:pPr>
            <w:r>
              <w:rPr>
                <w:rFonts w:hint="eastAsia"/>
                <w:sz w:val="24"/>
              </w:rPr>
              <w:t>指</w:t>
            </w:r>
          </w:p>
          <w:p w14:paraId="52055172">
            <w:pPr>
              <w:spacing w:line="360" w:lineRule="exact"/>
              <w:jc w:val="center"/>
              <w:rPr>
                <w:sz w:val="24"/>
              </w:rPr>
            </w:pPr>
            <w:r>
              <w:rPr>
                <w:rFonts w:hint="eastAsia"/>
                <w:sz w:val="24"/>
              </w:rPr>
              <w:t>导</w:t>
            </w:r>
          </w:p>
        </w:tc>
        <w:tc>
          <w:tcPr>
            <w:tcW w:w="8536" w:type="dxa"/>
          </w:tcPr>
          <w:p w14:paraId="311253DD">
            <w:pPr>
              <w:spacing w:line="360" w:lineRule="exact"/>
              <w:rPr>
                <w:sz w:val="24"/>
              </w:rPr>
            </w:pPr>
            <w:r>
              <w:rPr>
                <w:rFonts w:hint="eastAsia"/>
                <w:sz w:val="24"/>
              </w:rPr>
              <w:t>指导时间：</w:t>
            </w:r>
            <w:r>
              <w:rPr>
                <w:sz w:val="24"/>
              </w:rPr>
              <w:t xml:space="preserve"> </w:t>
            </w:r>
          </w:p>
          <w:p w14:paraId="272809C5">
            <w:pPr>
              <w:spacing w:line="360" w:lineRule="exact"/>
              <w:rPr>
                <w:sz w:val="24"/>
              </w:rPr>
            </w:pPr>
            <w:r>
              <w:rPr>
                <w:rFonts w:hint="eastAsia"/>
                <w:sz w:val="24"/>
              </w:rPr>
              <w:t>指导内容：</w:t>
            </w:r>
          </w:p>
          <w:p w14:paraId="460BA528">
            <w:pPr>
              <w:ind w:left="360"/>
              <w:rPr>
                <w:sz w:val="24"/>
              </w:rPr>
            </w:pPr>
          </w:p>
        </w:tc>
      </w:tr>
      <w:tr w14:paraId="426C4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568" w:type="dxa"/>
            <w:vAlign w:val="center"/>
          </w:tcPr>
          <w:p w14:paraId="6DB18D6F">
            <w:pPr>
              <w:spacing w:line="480" w:lineRule="exact"/>
              <w:jc w:val="center"/>
              <w:rPr>
                <w:sz w:val="24"/>
              </w:rPr>
            </w:pPr>
            <w:r>
              <w:rPr>
                <w:rFonts w:hint="eastAsia"/>
                <w:sz w:val="24"/>
              </w:rPr>
              <w:t>指</w:t>
            </w:r>
          </w:p>
          <w:p w14:paraId="4F8BD3A9">
            <w:pPr>
              <w:spacing w:line="480" w:lineRule="exact"/>
              <w:jc w:val="center"/>
              <w:rPr>
                <w:sz w:val="24"/>
              </w:rPr>
            </w:pPr>
            <w:r>
              <w:rPr>
                <w:rFonts w:hint="eastAsia"/>
                <w:sz w:val="24"/>
              </w:rPr>
              <w:t>导</w:t>
            </w:r>
          </w:p>
          <w:p w14:paraId="4243C972">
            <w:pPr>
              <w:spacing w:line="480" w:lineRule="exact"/>
              <w:jc w:val="center"/>
              <w:rPr>
                <w:sz w:val="24"/>
              </w:rPr>
            </w:pPr>
            <w:r>
              <w:rPr>
                <w:rFonts w:hint="eastAsia"/>
                <w:sz w:val="24"/>
              </w:rPr>
              <w:t>教</w:t>
            </w:r>
          </w:p>
          <w:p w14:paraId="3D93E618">
            <w:pPr>
              <w:spacing w:line="480" w:lineRule="exact"/>
              <w:jc w:val="center"/>
              <w:rPr>
                <w:sz w:val="24"/>
              </w:rPr>
            </w:pPr>
            <w:r>
              <w:rPr>
                <w:rFonts w:hint="eastAsia"/>
                <w:sz w:val="24"/>
              </w:rPr>
              <w:t>师</w:t>
            </w:r>
          </w:p>
          <w:p w14:paraId="6DEEEBBA">
            <w:pPr>
              <w:spacing w:line="480" w:lineRule="exact"/>
              <w:jc w:val="center"/>
              <w:rPr>
                <w:sz w:val="24"/>
              </w:rPr>
            </w:pPr>
            <w:r>
              <w:rPr>
                <w:rFonts w:hint="eastAsia"/>
                <w:sz w:val="24"/>
              </w:rPr>
              <w:t>评</w:t>
            </w:r>
          </w:p>
          <w:p w14:paraId="01D62394">
            <w:pPr>
              <w:spacing w:line="480" w:lineRule="exact"/>
              <w:jc w:val="center"/>
              <w:rPr>
                <w:sz w:val="24"/>
              </w:rPr>
            </w:pPr>
            <w:r>
              <w:rPr>
                <w:rFonts w:hint="eastAsia"/>
                <w:sz w:val="24"/>
              </w:rPr>
              <w:t>语</w:t>
            </w:r>
          </w:p>
        </w:tc>
        <w:tc>
          <w:tcPr>
            <w:tcW w:w="8536" w:type="dxa"/>
          </w:tcPr>
          <w:p w14:paraId="0F1F928D"/>
          <w:p w14:paraId="4945DE07"/>
          <w:p w14:paraId="186382DE"/>
          <w:p w14:paraId="3CA04DB3"/>
          <w:p w14:paraId="6CD197B4"/>
          <w:p w14:paraId="3FB5BFC3"/>
          <w:p w14:paraId="3A8A80EB"/>
          <w:p w14:paraId="6E80927B"/>
          <w:p w14:paraId="55807417">
            <w:r>
              <mc:AlternateContent>
                <mc:Choice Requires="wps">
                  <w:drawing>
                    <wp:anchor distT="0" distB="0" distL="114300" distR="114300" simplePos="0" relativeHeight="251659264" behindDoc="0" locked="0" layoutInCell="1" allowOverlap="1">
                      <wp:simplePos x="0" y="0"/>
                      <wp:positionH relativeFrom="column">
                        <wp:posOffset>232410</wp:posOffset>
                      </wp:positionH>
                      <wp:positionV relativeFrom="paragraph">
                        <wp:posOffset>36195</wp:posOffset>
                      </wp:positionV>
                      <wp:extent cx="1485900" cy="396875"/>
                      <wp:effectExtent l="0" t="0" r="19050" b="2222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1485900" cy="396875"/>
                              </a:xfrm>
                              <a:prstGeom prst="rect">
                                <a:avLst/>
                              </a:prstGeom>
                              <a:solidFill>
                                <a:srgbClr val="FFFFFF"/>
                              </a:solidFill>
                              <a:ln w="9525">
                                <a:solidFill>
                                  <a:srgbClr val="000000"/>
                                </a:solidFill>
                                <a:miter lim="800000"/>
                              </a:ln>
                            </wps:spPr>
                            <wps:txbx>
                              <w:txbxContent>
                                <w:p w14:paraId="129429F6">
                                  <w:r>
                                    <w:rPr>
                                      <w:rFonts w:hint="eastAsia"/>
                                      <w:sz w:val="24"/>
                                    </w:rPr>
                                    <w:t>初评成绩：  分</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8.3pt;margin-top:2.85pt;height:31.25pt;width:117pt;z-index:251659264;mso-width-relative:page;mso-height-relative:page;" fillcolor="#FFFFFF" filled="t" stroked="t" coordsize="21600,21600" o:gfxdata="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CvlNy9UAAAAHAQAADwAAAAAAAAABACAAAAAiAAAAZHJz&#10;L2Rvd25yZXYueG1sUEsBAhQAFAAAAAgAh07iQEtyoFZAAgAAhwQAAA4AAAAAAAAAAQAgAAAAJAEA&#10;AGRycy9lMm9Eb2MueG1sUEsFBgAAAAAGAAYAWQEAANYFAAAAAA==&#10;">
                      <v:fill on="t" focussize="0,0"/>
                      <v:stroke color="#000000" miterlimit="8" joinstyle="miter"/>
                      <v:imagedata o:title=""/>
                      <o:lock v:ext="edit" aspectratio="f"/>
                      <v:textbox>
                        <w:txbxContent>
                          <w:p w14:paraId="129429F6">
                            <w:r>
                              <w:rPr>
                                <w:rFonts w:hint="eastAsia"/>
                                <w:sz w:val="24"/>
                              </w:rPr>
                              <w:t>初评成绩：  分</w:t>
                            </w:r>
                          </w:p>
                        </w:txbxContent>
                      </v:textbox>
                    </v:shape>
                  </w:pict>
                </mc:Fallback>
              </mc:AlternateContent>
            </w:r>
          </w:p>
          <w:p w14:paraId="3BF2767D">
            <w:pPr>
              <w:ind w:firstLine="5160" w:firstLineChars="2150"/>
              <w:rPr>
                <w:sz w:val="24"/>
              </w:rPr>
            </w:pPr>
            <w:r>
              <w:rPr>
                <w:rFonts w:hint="eastAsia"/>
                <w:sz w:val="24"/>
              </w:rPr>
              <w:t>指导教师（签名）：</w:t>
            </w:r>
          </w:p>
          <w:p w14:paraId="5FB874F9">
            <w:pPr>
              <w:spacing w:line="320" w:lineRule="exact"/>
              <w:ind w:firstLine="6480" w:firstLineChars="2700"/>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14:paraId="4FD0CD9C"/>
    <w:p w14:paraId="186CB084"/>
    <w:p w14:paraId="1CBC7F70">
      <w:pPr>
        <w:spacing w:line="520" w:lineRule="exact"/>
        <w:jc w:val="left"/>
        <w:rPr>
          <w:sz w:val="24"/>
        </w:rPr>
      </w:pPr>
      <w:r>
        <w:rPr>
          <w:rFonts w:hint="eastAsia"/>
          <w:sz w:val="24"/>
        </w:rPr>
        <w:t>二、审核意见</w:t>
      </w:r>
    </w:p>
    <w:tbl>
      <w:tblPr>
        <w:tblStyle w:val="12"/>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460"/>
      </w:tblGrid>
      <w:tr w14:paraId="4FAD6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7" w:hRule="atLeast"/>
        </w:trPr>
        <w:tc>
          <w:tcPr>
            <w:tcW w:w="828" w:type="dxa"/>
            <w:vAlign w:val="center"/>
          </w:tcPr>
          <w:p w14:paraId="0671AA1B">
            <w:pPr>
              <w:spacing w:line="480" w:lineRule="exact"/>
              <w:jc w:val="center"/>
              <w:rPr>
                <w:sz w:val="24"/>
              </w:rPr>
            </w:pPr>
            <w:r>
              <w:rPr>
                <w:rFonts w:hint="eastAsia"/>
                <w:sz w:val="24"/>
              </w:rPr>
              <w:t>学院（分校）</w:t>
            </w:r>
          </w:p>
          <w:p w14:paraId="51978D0C">
            <w:pPr>
              <w:spacing w:line="480" w:lineRule="exact"/>
              <w:jc w:val="center"/>
              <w:rPr>
                <w:sz w:val="24"/>
              </w:rPr>
            </w:pPr>
            <w:r>
              <w:rPr>
                <w:rFonts w:hint="eastAsia"/>
                <w:sz w:val="24"/>
              </w:rPr>
              <w:t>意见</w:t>
            </w:r>
          </w:p>
        </w:tc>
        <w:tc>
          <w:tcPr>
            <w:tcW w:w="8460" w:type="dxa"/>
            <w:vAlign w:val="center"/>
          </w:tcPr>
          <w:p w14:paraId="3E0AEAE3">
            <w:pPr>
              <w:spacing w:line="480" w:lineRule="exact"/>
              <w:jc w:val="center"/>
              <w:rPr>
                <w:sz w:val="24"/>
              </w:rPr>
            </w:pPr>
          </w:p>
          <w:p w14:paraId="43E1E506">
            <w:pPr>
              <w:spacing w:line="480" w:lineRule="exact"/>
              <w:jc w:val="center"/>
              <w:rPr>
                <w:sz w:val="24"/>
              </w:rPr>
            </w:pPr>
          </w:p>
          <w:p w14:paraId="4C1BF9DC">
            <w:pPr>
              <w:spacing w:line="480" w:lineRule="exact"/>
              <w:jc w:val="center"/>
              <w:rPr>
                <w:sz w:val="24"/>
              </w:rPr>
            </w:pPr>
          </w:p>
          <w:p w14:paraId="684D4F3A">
            <w:pPr>
              <w:spacing w:line="480" w:lineRule="exact"/>
              <w:jc w:val="center"/>
              <w:rPr>
                <w:sz w:val="24"/>
              </w:rPr>
            </w:pPr>
          </w:p>
          <w:p w14:paraId="78E549E5">
            <w:pPr>
              <w:spacing w:line="480" w:lineRule="exact"/>
              <w:jc w:val="center"/>
              <w:rPr>
                <w:sz w:val="24"/>
              </w:rPr>
            </w:pPr>
          </w:p>
          <w:p w14:paraId="0F50D0A1">
            <w:pPr>
              <w:spacing w:line="480" w:lineRule="exact"/>
              <w:jc w:val="center"/>
              <w:rPr>
                <w:sz w:val="24"/>
              </w:rPr>
            </w:pPr>
          </w:p>
          <w:p w14:paraId="2A605C79">
            <w:pPr>
              <w:spacing w:line="480" w:lineRule="exact"/>
              <w:jc w:val="center"/>
              <w:rPr>
                <w:sz w:val="24"/>
              </w:rPr>
            </w:pPr>
          </w:p>
          <w:p w14:paraId="4DC85956">
            <w:pPr>
              <w:spacing w:line="480" w:lineRule="exact"/>
              <w:jc w:val="center"/>
              <w:rPr>
                <w:sz w:val="24"/>
              </w:rPr>
            </w:pPr>
          </w:p>
          <w:p w14:paraId="1A1807BE">
            <w:pPr>
              <w:spacing w:line="480" w:lineRule="exact"/>
              <w:jc w:val="center"/>
              <w:rPr>
                <w:sz w:val="24"/>
              </w:rPr>
            </w:pPr>
            <w:r>
              <mc:AlternateContent>
                <mc:Choice Requires="wps">
                  <w:drawing>
                    <wp:anchor distT="0" distB="0" distL="114300" distR="114300" simplePos="0" relativeHeight="251660288" behindDoc="0" locked="0" layoutInCell="1" allowOverlap="1">
                      <wp:simplePos x="0" y="0"/>
                      <wp:positionH relativeFrom="column">
                        <wp:posOffset>79375</wp:posOffset>
                      </wp:positionH>
                      <wp:positionV relativeFrom="paragraph">
                        <wp:posOffset>238760</wp:posOffset>
                      </wp:positionV>
                      <wp:extent cx="1485900" cy="396875"/>
                      <wp:effectExtent l="0" t="0" r="19050" b="2222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485900" cy="396875"/>
                              </a:xfrm>
                              <a:prstGeom prst="rect">
                                <a:avLst/>
                              </a:prstGeom>
                              <a:solidFill>
                                <a:srgbClr val="FFFFFF"/>
                              </a:solidFill>
                              <a:ln w="9525">
                                <a:solidFill>
                                  <a:srgbClr val="000000"/>
                                </a:solidFill>
                                <a:miter lim="800000"/>
                              </a:ln>
                            </wps:spPr>
                            <wps:txbx>
                              <w:txbxContent>
                                <w:p w14:paraId="683E8498">
                                  <w:r>
                                    <w:rPr>
                                      <w:rFonts w:hint="eastAsia"/>
                                      <w:sz w:val="24"/>
                                    </w:rPr>
                                    <w:t>初审成绩：</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6.25pt;margin-top:18.8pt;height:31.25pt;width:117pt;z-index:251660288;mso-width-relative:page;mso-height-relative:page;" fillcolor="#FFFFFF" filled="t" stroked="t" coordsize="21600,21600" o:gfxdata="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YjpB6tcAAAAJAQAADwAAAAAAAAABACAAAAAiAAAA&#10;ZHJzL2Rvd25yZXYueG1sUEsBAhQAFAAAAAgAh07iQDklHINBAgAAhwQAAA4AAAAAAAAAAQAgAAAA&#10;JgEAAGRycy9lMm9Eb2MueG1sUEsFBgAAAAAGAAYAWQEAANkFAAAAAA==&#10;">
                      <v:fill on="t" focussize="0,0"/>
                      <v:stroke color="#000000" miterlimit="8" joinstyle="miter"/>
                      <v:imagedata o:title=""/>
                      <o:lock v:ext="edit" aspectratio="f"/>
                      <v:textbox>
                        <w:txbxContent>
                          <w:p w14:paraId="683E8498">
                            <w:r>
                              <w:rPr>
                                <w:rFonts w:hint="eastAsia"/>
                                <w:sz w:val="24"/>
                              </w:rPr>
                              <w:t>初审成绩：</w:t>
                            </w:r>
                          </w:p>
                        </w:txbxContent>
                      </v:textbox>
                    </v:shape>
                  </w:pict>
                </mc:Fallback>
              </mc:AlternateContent>
            </w:r>
          </w:p>
          <w:p w14:paraId="26EDD326">
            <w:pPr>
              <w:spacing w:line="480" w:lineRule="exact"/>
              <w:jc w:val="center"/>
              <w:rPr>
                <w:sz w:val="24"/>
              </w:rPr>
            </w:pPr>
          </w:p>
          <w:p w14:paraId="0CCA2B74">
            <w:pPr>
              <w:spacing w:line="480" w:lineRule="exact"/>
              <w:rPr>
                <w:sz w:val="24"/>
              </w:rPr>
            </w:pPr>
            <w:r>
              <w:rPr>
                <w:rFonts w:hint="eastAsia"/>
                <w:sz w:val="24"/>
              </w:rPr>
              <w:t>初审人（签名）：</w:t>
            </w:r>
            <w:r>
              <w:rPr>
                <w:sz w:val="24"/>
              </w:rPr>
              <w:t xml:space="preserve">                                   </w:t>
            </w:r>
            <w:r>
              <w:rPr>
                <w:rFonts w:hint="eastAsia"/>
                <w:sz w:val="24"/>
              </w:rPr>
              <w:t>负责部门公章</w:t>
            </w:r>
          </w:p>
          <w:p w14:paraId="42F1C207">
            <w:pPr>
              <w:spacing w:line="480" w:lineRule="exact"/>
              <w:ind w:firstLine="4095"/>
              <w:rPr>
                <w:sz w:val="24"/>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14:paraId="18907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8" w:hRule="atLeast"/>
        </w:trPr>
        <w:tc>
          <w:tcPr>
            <w:tcW w:w="828" w:type="dxa"/>
            <w:vAlign w:val="center"/>
          </w:tcPr>
          <w:p w14:paraId="4B120D5B">
            <w:pPr>
              <w:spacing w:line="480" w:lineRule="exact"/>
              <w:jc w:val="center"/>
              <w:rPr>
                <w:sz w:val="24"/>
              </w:rPr>
            </w:pPr>
            <w:r>
              <w:rPr>
                <w:rFonts w:hint="eastAsia"/>
                <w:sz w:val="24"/>
              </w:rPr>
              <w:t>分</w:t>
            </w:r>
          </w:p>
          <w:p w14:paraId="0E9746FC">
            <w:pPr>
              <w:spacing w:line="480" w:lineRule="exact"/>
              <w:jc w:val="center"/>
              <w:rPr>
                <w:sz w:val="24"/>
              </w:rPr>
            </w:pPr>
            <w:r>
              <w:rPr>
                <w:rFonts w:hint="eastAsia"/>
                <w:sz w:val="24"/>
              </w:rPr>
              <w:t>部</w:t>
            </w:r>
          </w:p>
          <w:p w14:paraId="5C8AECBD">
            <w:pPr>
              <w:spacing w:line="480" w:lineRule="exact"/>
              <w:jc w:val="center"/>
              <w:rPr>
                <w:sz w:val="24"/>
              </w:rPr>
            </w:pPr>
            <w:r>
              <w:rPr>
                <w:rFonts w:hint="eastAsia"/>
                <w:sz w:val="24"/>
              </w:rPr>
              <w:t>终</w:t>
            </w:r>
          </w:p>
          <w:p w14:paraId="58A8FB88">
            <w:pPr>
              <w:spacing w:line="480" w:lineRule="exact"/>
              <w:jc w:val="center"/>
              <w:rPr>
                <w:sz w:val="24"/>
              </w:rPr>
            </w:pPr>
            <w:r>
              <w:rPr>
                <w:rFonts w:hint="eastAsia"/>
                <w:sz w:val="24"/>
              </w:rPr>
              <w:t>审</w:t>
            </w:r>
          </w:p>
          <w:p w14:paraId="65C66752">
            <w:pPr>
              <w:spacing w:line="480" w:lineRule="exact"/>
              <w:jc w:val="center"/>
              <w:rPr>
                <w:sz w:val="24"/>
              </w:rPr>
            </w:pPr>
            <w:r>
              <w:rPr>
                <w:rFonts w:hint="eastAsia"/>
                <w:sz w:val="24"/>
              </w:rPr>
              <w:t>意</w:t>
            </w:r>
          </w:p>
          <w:p w14:paraId="0776A99B">
            <w:pPr>
              <w:spacing w:line="480" w:lineRule="exact"/>
              <w:jc w:val="center"/>
              <w:rPr>
                <w:sz w:val="24"/>
              </w:rPr>
            </w:pPr>
            <w:r>
              <w:rPr>
                <w:rFonts w:hint="eastAsia"/>
                <w:sz w:val="24"/>
              </w:rPr>
              <w:t>见</w:t>
            </w:r>
          </w:p>
        </w:tc>
        <w:tc>
          <w:tcPr>
            <w:tcW w:w="8460" w:type="dxa"/>
          </w:tcPr>
          <w:p w14:paraId="6E55599A">
            <w:pPr>
              <w:spacing w:line="480" w:lineRule="exact"/>
              <w:ind w:firstLine="3360"/>
              <w:rPr>
                <w:sz w:val="24"/>
              </w:rPr>
            </w:pPr>
          </w:p>
          <w:p w14:paraId="5B5B4EEC">
            <w:pPr>
              <w:spacing w:line="480" w:lineRule="exact"/>
              <w:ind w:firstLine="3360"/>
              <w:rPr>
                <w:sz w:val="24"/>
              </w:rPr>
            </w:pPr>
          </w:p>
          <w:p w14:paraId="58EF95D0">
            <w:pPr>
              <w:spacing w:line="480" w:lineRule="exact"/>
              <w:ind w:firstLine="3360"/>
              <w:rPr>
                <w:sz w:val="24"/>
              </w:rPr>
            </w:pPr>
          </w:p>
          <w:p w14:paraId="7A5343D8">
            <w:pPr>
              <w:spacing w:line="480" w:lineRule="exact"/>
              <w:ind w:firstLine="3360"/>
              <w:rPr>
                <w:sz w:val="24"/>
              </w:rPr>
            </w:pPr>
          </w:p>
          <w:p w14:paraId="675EBC43">
            <w:pPr>
              <w:spacing w:line="480" w:lineRule="exact"/>
              <w:ind w:firstLine="3360"/>
              <w:rPr>
                <w:sz w:val="24"/>
              </w:rPr>
            </w:pPr>
          </w:p>
          <w:p w14:paraId="38694DDA">
            <w:pPr>
              <w:spacing w:line="480" w:lineRule="exact"/>
              <w:ind w:firstLine="3360"/>
              <w:rPr>
                <w:sz w:val="24"/>
              </w:rPr>
            </w:pPr>
          </w:p>
          <w:p w14:paraId="3ADC732C">
            <w:pPr>
              <w:spacing w:line="480" w:lineRule="exact"/>
              <w:ind w:firstLine="3360"/>
              <w:rPr>
                <w:sz w:val="24"/>
              </w:rPr>
            </w:pPr>
          </w:p>
          <w:p w14:paraId="363B23B2">
            <w:pPr>
              <w:spacing w:line="480" w:lineRule="exact"/>
              <w:ind w:firstLine="3360"/>
              <w:rPr>
                <w:sz w:val="24"/>
              </w:rPr>
            </w:pPr>
          </w:p>
          <w:p w14:paraId="15D52CCC">
            <w:pPr>
              <w:spacing w:line="480" w:lineRule="exact"/>
              <w:ind w:firstLine="3360"/>
              <w:rPr>
                <w:sz w:val="24"/>
              </w:rPr>
            </w:pPr>
          </w:p>
          <w:p w14:paraId="2E244C60">
            <w:pPr>
              <w:spacing w:line="480" w:lineRule="exact"/>
              <w:ind w:firstLine="3360"/>
              <w:rPr>
                <w:sz w:val="24"/>
              </w:rPr>
            </w:pPr>
            <w:r>
              <mc:AlternateContent>
                <mc:Choice Requires="wps">
                  <w:drawing>
                    <wp:anchor distT="0" distB="0" distL="114300" distR="114300" simplePos="0" relativeHeight="251661312" behindDoc="0" locked="0" layoutInCell="1" allowOverlap="1">
                      <wp:simplePos x="0" y="0"/>
                      <wp:positionH relativeFrom="column">
                        <wp:posOffset>135890</wp:posOffset>
                      </wp:positionH>
                      <wp:positionV relativeFrom="paragraph">
                        <wp:posOffset>177165</wp:posOffset>
                      </wp:positionV>
                      <wp:extent cx="1485900" cy="396875"/>
                      <wp:effectExtent l="0" t="0" r="19050" b="22225"/>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485900" cy="396875"/>
                              </a:xfrm>
                              <a:prstGeom prst="rect">
                                <a:avLst/>
                              </a:prstGeom>
                              <a:solidFill>
                                <a:srgbClr val="FFFFFF"/>
                              </a:solidFill>
                              <a:ln w="9525">
                                <a:solidFill>
                                  <a:srgbClr val="000000"/>
                                </a:solidFill>
                                <a:miter lim="800000"/>
                              </a:ln>
                            </wps:spPr>
                            <wps:txbx>
                              <w:txbxContent>
                                <w:p w14:paraId="40B4AC7D">
                                  <w:r>
                                    <w:rPr>
                                      <w:rFonts w:hint="eastAsia"/>
                                      <w:sz w:val="24"/>
                                    </w:rPr>
                                    <w:t>终审成绩：</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0.7pt;margin-top:13.95pt;height:31.25pt;width:117pt;z-index:251661312;mso-width-relative:page;mso-height-relative:page;" fillcolor="#FFFFFF" filled="t" stroked="t" coordsize="21600,21600" o:gfxdata="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g1x0ZNgAAAAIAQAADwAAAAAAAAABACAAAAAiAAAA&#10;ZHJzL2Rvd25yZXYueG1sUEsBAhQAFAAAAAgAh07iQITjhexAAgAAhwQAAA4AAAAAAAAAAQAgAAAA&#10;JwEAAGRycy9lMm9Eb2MueG1sUEsFBgAAAAAGAAYAWQEAANkFAAAAAA==&#10;">
                      <v:fill on="t" focussize="0,0"/>
                      <v:stroke color="#000000" miterlimit="8" joinstyle="miter"/>
                      <v:imagedata o:title=""/>
                      <o:lock v:ext="edit" aspectratio="f"/>
                      <v:textbox>
                        <w:txbxContent>
                          <w:p w14:paraId="40B4AC7D">
                            <w:r>
                              <w:rPr>
                                <w:rFonts w:hint="eastAsia"/>
                                <w:sz w:val="24"/>
                              </w:rPr>
                              <w:t>终审成绩：</w:t>
                            </w:r>
                          </w:p>
                        </w:txbxContent>
                      </v:textbox>
                    </v:shape>
                  </w:pict>
                </mc:Fallback>
              </mc:AlternateContent>
            </w:r>
          </w:p>
          <w:p w14:paraId="4192D68B">
            <w:pPr>
              <w:spacing w:line="480" w:lineRule="exact"/>
              <w:ind w:firstLine="3360"/>
              <w:rPr>
                <w:sz w:val="24"/>
              </w:rPr>
            </w:pPr>
          </w:p>
          <w:p w14:paraId="393D59E7">
            <w:pPr>
              <w:spacing w:line="480" w:lineRule="exact"/>
              <w:rPr>
                <w:sz w:val="24"/>
              </w:rPr>
            </w:pPr>
            <w:r>
              <w:rPr>
                <w:rFonts w:hint="eastAsia"/>
                <w:sz w:val="24"/>
              </w:rPr>
              <w:t>终审人（签名）：</w:t>
            </w:r>
            <w:r>
              <w:rPr>
                <w:sz w:val="24"/>
              </w:rPr>
              <w:t xml:space="preserve">                                  </w:t>
            </w:r>
            <w:r>
              <w:rPr>
                <w:rFonts w:hint="eastAsia"/>
                <w:sz w:val="24"/>
              </w:rPr>
              <w:t>负责部门公章</w:t>
            </w:r>
          </w:p>
          <w:p w14:paraId="01AED0BB">
            <w:pPr>
              <w:spacing w:line="160" w:lineRule="exact"/>
              <w:ind w:firstLine="2940"/>
              <w:rPr>
                <w:sz w:val="24"/>
              </w:rPr>
            </w:pPr>
          </w:p>
          <w:p w14:paraId="2A8A594C">
            <w:pPr>
              <w:spacing w:line="280" w:lineRule="exact"/>
              <w:ind w:firstLine="2940"/>
              <w:rPr>
                <w:sz w:val="24"/>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14:paraId="1E090FBF">
      <w:pPr>
        <w:spacing w:line="360" w:lineRule="auto"/>
        <w:jc w:val="left"/>
        <w:rPr>
          <w:b/>
          <w:sz w:val="24"/>
          <w:szCs w:val="24"/>
        </w:rPr>
      </w:pPr>
      <w:r>
        <w:rPr>
          <w:b/>
          <w:sz w:val="24"/>
          <w:szCs w:val="24"/>
        </w:rPr>
        <w:t>附件4:学位论文评审表</w:t>
      </w:r>
    </w:p>
    <w:p w14:paraId="127D5E9E">
      <w:pPr>
        <w:widowControl/>
        <w:spacing w:line="560" w:lineRule="exact"/>
        <w:jc w:val="left"/>
        <w:rPr>
          <w:rFonts w:ascii="黑体" w:hAnsi="黑体" w:eastAsia="黑体"/>
          <w:sz w:val="32"/>
          <w:szCs w:val="32"/>
        </w:rPr>
      </w:pPr>
    </w:p>
    <w:p w14:paraId="6EA394F5">
      <w:pPr>
        <w:spacing w:line="560" w:lineRule="exact"/>
        <w:jc w:val="center"/>
        <w:rPr>
          <w:rFonts w:ascii="Times New Roman" w:hAnsi="Times New Roman" w:eastAsia="仿宋"/>
          <w:sz w:val="30"/>
          <w:szCs w:val="30"/>
        </w:rPr>
      </w:pPr>
    </w:p>
    <w:tbl>
      <w:tblPr>
        <w:tblStyle w:val="12"/>
        <w:tblW w:w="10600" w:type="dxa"/>
        <w:tblInd w:w="108" w:type="dxa"/>
        <w:tblLayout w:type="fixed"/>
        <w:tblCellMar>
          <w:top w:w="0" w:type="dxa"/>
          <w:left w:w="108" w:type="dxa"/>
          <w:bottom w:w="0" w:type="dxa"/>
          <w:right w:w="108" w:type="dxa"/>
        </w:tblCellMar>
      </w:tblPr>
      <w:tblGrid>
        <w:gridCol w:w="8789"/>
        <w:gridCol w:w="1811"/>
      </w:tblGrid>
      <w:tr w14:paraId="6BA29657">
        <w:tblPrEx>
          <w:tblCellMar>
            <w:top w:w="0" w:type="dxa"/>
            <w:left w:w="108" w:type="dxa"/>
            <w:bottom w:w="0" w:type="dxa"/>
            <w:right w:w="108" w:type="dxa"/>
          </w:tblCellMar>
        </w:tblPrEx>
        <w:trPr>
          <w:gridAfter w:val="1"/>
          <w:wAfter w:w="1811" w:type="dxa"/>
          <w:trHeight w:val="795" w:hRule="atLeast"/>
        </w:trPr>
        <w:tc>
          <w:tcPr>
            <w:tcW w:w="8789" w:type="dxa"/>
            <w:tcBorders>
              <w:top w:val="nil"/>
              <w:left w:val="nil"/>
              <w:bottom w:val="nil"/>
              <w:right w:val="nil"/>
            </w:tcBorders>
            <w:noWrap/>
            <w:vAlign w:val="bottom"/>
          </w:tcPr>
          <w:p w14:paraId="149678BD">
            <w:pPr>
              <w:widowControl/>
              <w:spacing w:line="560" w:lineRule="exact"/>
              <w:jc w:val="center"/>
              <w:rPr>
                <w:rFonts w:ascii="Times New Roman" w:hAnsi="Times New Roman"/>
                <w:b/>
                <w:bCs/>
                <w:kern w:val="0"/>
                <w:sz w:val="56"/>
                <w:szCs w:val="56"/>
              </w:rPr>
            </w:pPr>
            <w:r>
              <w:rPr>
                <w:rFonts w:ascii="Times New Roman" w:hAnsi="Times New Roman"/>
                <w:b/>
                <w:bCs/>
                <w:kern w:val="0"/>
                <w:sz w:val="56"/>
                <w:szCs w:val="56"/>
              </w:rPr>
              <w:t>国家开放大学学士学位论文评审表</w:t>
            </w:r>
          </w:p>
        </w:tc>
      </w:tr>
      <w:tr w14:paraId="45C488E0">
        <w:tblPrEx>
          <w:tblCellMar>
            <w:top w:w="0" w:type="dxa"/>
            <w:left w:w="108" w:type="dxa"/>
            <w:bottom w:w="0" w:type="dxa"/>
            <w:right w:w="108" w:type="dxa"/>
          </w:tblCellMar>
        </w:tblPrEx>
        <w:trPr>
          <w:gridAfter w:val="1"/>
          <w:wAfter w:w="1811" w:type="dxa"/>
          <w:trHeight w:val="1050" w:hRule="atLeast"/>
        </w:trPr>
        <w:tc>
          <w:tcPr>
            <w:tcW w:w="8789" w:type="dxa"/>
            <w:tcBorders>
              <w:top w:val="nil"/>
              <w:left w:val="nil"/>
              <w:bottom w:val="nil"/>
              <w:right w:val="nil"/>
            </w:tcBorders>
            <w:noWrap/>
            <w:vAlign w:val="bottom"/>
          </w:tcPr>
          <w:p w14:paraId="576E83D6">
            <w:pPr>
              <w:widowControl/>
              <w:jc w:val="center"/>
              <w:rPr>
                <w:rFonts w:ascii="Times New Roman" w:hAnsi="Times New Roman"/>
                <w:b/>
                <w:bCs/>
                <w:kern w:val="0"/>
                <w:sz w:val="56"/>
                <w:szCs w:val="56"/>
              </w:rPr>
            </w:pPr>
          </w:p>
        </w:tc>
      </w:tr>
      <w:tr w14:paraId="0F63535B">
        <w:tblPrEx>
          <w:tblCellMar>
            <w:top w:w="0" w:type="dxa"/>
            <w:left w:w="108" w:type="dxa"/>
            <w:bottom w:w="0" w:type="dxa"/>
            <w:right w:w="108" w:type="dxa"/>
          </w:tblCellMar>
        </w:tblPrEx>
        <w:trPr>
          <w:trHeight w:val="1425" w:hRule="atLeast"/>
        </w:trPr>
        <w:tc>
          <w:tcPr>
            <w:tcW w:w="10600" w:type="dxa"/>
            <w:gridSpan w:val="2"/>
            <w:tcBorders>
              <w:top w:val="nil"/>
              <w:left w:val="nil"/>
              <w:bottom w:val="nil"/>
              <w:right w:val="nil"/>
            </w:tcBorders>
            <w:noWrap/>
            <w:vAlign w:val="bottom"/>
          </w:tcPr>
          <w:tbl>
            <w:tblPr>
              <w:tblStyle w:val="12"/>
              <w:tblW w:w="8120" w:type="dxa"/>
              <w:tblInd w:w="0" w:type="dxa"/>
              <w:tblLayout w:type="fixed"/>
              <w:tblCellMar>
                <w:top w:w="0" w:type="dxa"/>
                <w:left w:w="108" w:type="dxa"/>
                <w:bottom w:w="0" w:type="dxa"/>
                <w:right w:w="108" w:type="dxa"/>
              </w:tblCellMar>
            </w:tblPr>
            <w:tblGrid>
              <w:gridCol w:w="1300"/>
              <w:gridCol w:w="6820"/>
            </w:tblGrid>
            <w:tr w14:paraId="1C57C5A5">
              <w:tblPrEx>
                <w:tblCellMar>
                  <w:top w:w="0" w:type="dxa"/>
                  <w:left w:w="108" w:type="dxa"/>
                  <w:bottom w:w="0" w:type="dxa"/>
                  <w:right w:w="108" w:type="dxa"/>
                </w:tblCellMar>
              </w:tblPrEx>
              <w:trPr>
                <w:trHeight w:val="1425" w:hRule="atLeast"/>
              </w:trPr>
              <w:tc>
                <w:tcPr>
                  <w:tcW w:w="1300" w:type="dxa"/>
                  <w:tcBorders>
                    <w:top w:val="nil"/>
                    <w:left w:val="nil"/>
                    <w:bottom w:val="nil"/>
                    <w:right w:val="nil"/>
                  </w:tcBorders>
                  <w:noWrap/>
                  <w:vAlign w:val="bottom"/>
                </w:tcPr>
                <w:p w14:paraId="1FC3D4F1">
                  <w:pPr>
                    <w:widowControl/>
                    <w:rPr>
                      <w:rFonts w:ascii="Times New Roman" w:hAnsi="Times New Roman" w:eastAsia="黑体"/>
                      <w:kern w:val="0"/>
                      <w:sz w:val="32"/>
                      <w:szCs w:val="32"/>
                    </w:rPr>
                  </w:pPr>
                  <w:r>
                    <w:rPr>
                      <w:rFonts w:ascii="Times New Roman" w:hAnsi="Times New Roman" w:eastAsia="黑体"/>
                      <w:kern w:val="0"/>
                      <w:sz w:val="32"/>
                      <w:szCs w:val="32"/>
                    </w:rPr>
                    <w:t>题  目</w:t>
                  </w:r>
                </w:p>
              </w:tc>
              <w:tc>
                <w:tcPr>
                  <w:tcW w:w="6820" w:type="dxa"/>
                  <w:tcBorders>
                    <w:top w:val="nil"/>
                    <w:left w:val="nil"/>
                    <w:bottom w:val="single" w:color="auto" w:sz="4" w:space="0"/>
                    <w:right w:val="nil"/>
                  </w:tcBorders>
                  <w:noWrap/>
                  <w:vAlign w:val="bottom"/>
                </w:tcPr>
                <w:p w14:paraId="36CCD3AE">
                  <w:pPr>
                    <w:widowControl/>
                    <w:jc w:val="left"/>
                    <w:rPr>
                      <w:rFonts w:ascii="Times New Roman" w:hAnsi="Times New Roman"/>
                      <w:kern w:val="0"/>
                      <w:sz w:val="32"/>
                      <w:szCs w:val="32"/>
                    </w:rPr>
                  </w:pPr>
                  <w:r>
                    <w:rPr>
                      <w:rFonts w:ascii="Times New Roman" w:hAnsi="Times New Roman"/>
                      <w:kern w:val="0"/>
                      <w:sz w:val="32"/>
                      <w:szCs w:val="32"/>
                    </w:rPr>
                    <w:t>　</w:t>
                  </w:r>
                </w:p>
                <w:p w14:paraId="6AE1818A">
                  <w:pPr>
                    <w:widowControl/>
                    <w:jc w:val="left"/>
                    <w:rPr>
                      <w:rFonts w:ascii="Times New Roman" w:hAnsi="Times New Roman"/>
                      <w:kern w:val="0"/>
                      <w:sz w:val="32"/>
                      <w:szCs w:val="32"/>
                    </w:rPr>
                  </w:pPr>
                </w:p>
                <w:p w14:paraId="68338856">
                  <w:pPr>
                    <w:widowControl/>
                    <w:jc w:val="left"/>
                    <w:rPr>
                      <w:rFonts w:ascii="Times New Roman" w:hAnsi="Times New Roman"/>
                      <w:kern w:val="0"/>
                      <w:sz w:val="24"/>
                    </w:rPr>
                  </w:pPr>
                  <w:r>
                    <w:rPr>
                      <w:rFonts w:ascii="Times New Roman" w:hAnsi="Times New Roman"/>
                      <w:kern w:val="0"/>
                      <w:sz w:val="24"/>
                    </w:rPr>
                    <w:t>　</w:t>
                  </w:r>
                </w:p>
                <w:p w14:paraId="1C02392A">
                  <w:pPr>
                    <w:widowControl/>
                    <w:jc w:val="left"/>
                    <w:rPr>
                      <w:rFonts w:ascii="Times New Roman" w:hAnsi="Times New Roman"/>
                      <w:kern w:val="0"/>
                      <w:sz w:val="24"/>
                    </w:rPr>
                  </w:pPr>
                  <w:r>
                    <w:rPr>
                      <w:rFonts w:ascii="Times New Roman" w:hAnsi="Times New Roman"/>
                      <w:kern w:val="0"/>
                      <w:sz w:val="24"/>
                    </w:rPr>
                    <w:t>　</w:t>
                  </w:r>
                </w:p>
              </w:tc>
            </w:tr>
          </w:tbl>
          <w:p w14:paraId="6E46060F">
            <w:pPr>
              <w:widowControl/>
              <w:jc w:val="center"/>
              <w:rPr>
                <w:rFonts w:ascii="Times New Roman" w:hAnsi="Times New Roman"/>
                <w:b/>
                <w:bCs/>
                <w:kern w:val="0"/>
                <w:sz w:val="56"/>
                <w:szCs w:val="56"/>
              </w:rPr>
            </w:pPr>
          </w:p>
        </w:tc>
      </w:tr>
      <w:tr w14:paraId="32E7C060">
        <w:tblPrEx>
          <w:tblCellMar>
            <w:top w:w="0" w:type="dxa"/>
            <w:left w:w="108" w:type="dxa"/>
            <w:bottom w:w="0" w:type="dxa"/>
            <w:right w:w="108" w:type="dxa"/>
          </w:tblCellMar>
        </w:tblPrEx>
        <w:trPr>
          <w:trHeight w:val="1380" w:hRule="atLeast"/>
        </w:trPr>
        <w:tc>
          <w:tcPr>
            <w:tcW w:w="10600" w:type="dxa"/>
            <w:gridSpan w:val="2"/>
            <w:tcBorders>
              <w:top w:val="nil"/>
              <w:left w:val="nil"/>
              <w:bottom w:val="nil"/>
              <w:right w:val="nil"/>
            </w:tcBorders>
            <w:noWrap/>
            <w:vAlign w:val="bottom"/>
          </w:tcPr>
          <w:p w14:paraId="70817EBB">
            <w:pPr>
              <w:widowControl/>
              <w:rPr>
                <w:rFonts w:ascii="Times New Roman" w:hAnsi="Times New Roman"/>
                <w:kern w:val="0"/>
                <w:sz w:val="20"/>
                <w:szCs w:val="20"/>
                <w:u w:val="single"/>
              </w:rPr>
            </w:pPr>
            <w:r>
              <w:rPr>
                <w:rFonts w:ascii="Times New Roman" w:hAnsi="Times New Roman"/>
                <w:kern w:val="0"/>
                <w:sz w:val="20"/>
                <w:szCs w:val="20"/>
              </w:rPr>
              <w:t xml:space="preserve">             </w:t>
            </w:r>
            <w:r>
              <w:rPr>
                <w:rFonts w:ascii="Times New Roman" w:hAnsi="Times New Roman"/>
                <w:kern w:val="0"/>
                <w:sz w:val="20"/>
                <w:szCs w:val="20"/>
                <w:u w:val="single"/>
              </w:rPr>
              <w:t xml:space="preserve">                                                                    </w:t>
            </w:r>
          </w:p>
        </w:tc>
      </w:tr>
      <w:tr w14:paraId="55940FFF">
        <w:tblPrEx>
          <w:tblCellMar>
            <w:top w:w="0" w:type="dxa"/>
            <w:left w:w="108" w:type="dxa"/>
            <w:bottom w:w="0" w:type="dxa"/>
            <w:right w:w="108" w:type="dxa"/>
          </w:tblCellMar>
        </w:tblPrEx>
        <w:trPr>
          <w:trHeight w:val="660" w:hRule="atLeast"/>
        </w:trPr>
        <w:tc>
          <w:tcPr>
            <w:tcW w:w="10600" w:type="dxa"/>
            <w:gridSpan w:val="2"/>
            <w:tcBorders>
              <w:top w:val="nil"/>
              <w:left w:val="nil"/>
              <w:bottom w:val="nil"/>
              <w:right w:val="nil"/>
            </w:tcBorders>
            <w:noWrap/>
            <w:vAlign w:val="bottom"/>
          </w:tcPr>
          <w:tbl>
            <w:tblPr>
              <w:tblStyle w:val="12"/>
              <w:tblW w:w="8120" w:type="dxa"/>
              <w:tblInd w:w="0" w:type="dxa"/>
              <w:tblLayout w:type="fixed"/>
              <w:tblCellMar>
                <w:top w:w="0" w:type="dxa"/>
                <w:left w:w="108" w:type="dxa"/>
                <w:bottom w:w="0" w:type="dxa"/>
                <w:right w:w="108" w:type="dxa"/>
              </w:tblCellMar>
            </w:tblPr>
            <w:tblGrid>
              <w:gridCol w:w="1300"/>
              <w:gridCol w:w="2800"/>
              <w:gridCol w:w="1200"/>
              <w:gridCol w:w="2820"/>
            </w:tblGrid>
            <w:tr w14:paraId="5DBF1F9D">
              <w:tblPrEx>
                <w:tblCellMar>
                  <w:top w:w="0" w:type="dxa"/>
                  <w:left w:w="108" w:type="dxa"/>
                  <w:bottom w:w="0" w:type="dxa"/>
                  <w:right w:w="108" w:type="dxa"/>
                </w:tblCellMar>
              </w:tblPrEx>
              <w:trPr>
                <w:trHeight w:val="1345" w:hRule="atLeast"/>
              </w:trPr>
              <w:tc>
                <w:tcPr>
                  <w:tcW w:w="1300" w:type="dxa"/>
                  <w:tcBorders>
                    <w:top w:val="nil"/>
                    <w:left w:val="nil"/>
                    <w:bottom w:val="nil"/>
                    <w:right w:val="nil"/>
                  </w:tcBorders>
                  <w:noWrap/>
                  <w:vAlign w:val="bottom"/>
                </w:tcPr>
                <w:p w14:paraId="7FCBE0D6">
                  <w:pPr>
                    <w:widowControl/>
                    <w:rPr>
                      <w:rFonts w:ascii="Times New Roman" w:hAnsi="Times New Roman"/>
                      <w:kern w:val="0"/>
                      <w:sz w:val="24"/>
                    </w:rPr>
                  </w:pPr>
                  <w:r>
                    <w:rPr>
                      <w:rFonts w:ascii="Times New Roman" w:hAnsi="Times New Roman"/>
                      <w:kern w:val="0"/>
                      <w:sz w:val="24"/>
                    </w:rPr>
                    <w:t>姓名</w:t>
                  </w:r>
                </w:p>
              </w:tc>
              <w:tc>
                <w:tcPr>
                  <w:tcW w:w="2800" w:type="dxa"/>
                  <w:tcBorders>
                    <w:top w:val="nil"/>
                    <w:left w:val="nil"/>
                    <w:bottom w:val="single" w:color="auto" w:sz="4" w:space="0"/>
                    <w:right w:val="nil"/>
                  </w:tcBorders>
                  <w:noWrap/>
                  <w:vAlign w:val="bottom"/>
                </w:tcPr>
                <w:p w14:paraId="4B7D7A43">
                  <w:pPr>
                    <w:widowControl/>
                    <w:jc w:val="left"/>
                    <w:rPr>
                      <w:rFonts w:ascii="Times New Roman" w:hAnsi="Times New Roman"/>
                      <w:kern w:val="0"/>
                      <w:sz w:val="24"/>
                    </w:rPr>
                  </w:pPr>
                  <w:r>
                    <w:rPr>
                      <w:rFonts w:ascii="Times New Roman" w:hAnsi="Times New Roman"/>
                      <w:kern w:val="0"/>
                      <w:sz w:val="24"/>
                    </w:rPr>
                    <w:t>　</w:t>
                  </w:r>
                </w:p>
              </w:tc>
              <w:tc>
                <w:tcPr>
                  <w:tcW w:w="1200" w:type="dxa"/>
                  <w:tcBorders>
                    <w:top w:val="nil"/>
                    <w:left w:val="nil"/>
                    <w:bottom w:val="nil"/>
                    <w:right w:val="nil"/>
                  </w:tcBorders>
                  <w:noWrap/>
                  <w:vAlign w:val="bottom"/>
                </w:tcPr>
                <w:p w14:paraId="27C83462">
                  <w:pPr>
                    <w:widowControl/>
                    <w:rPr>
                      <w:rFonts w:ascii="Times New Roman" w:hAnsi="Times New Roman"/>
                      <w:kern w:val="0"/>
                      <w:sz w:val="24"/>
                    </w:rPr>
                  </w:pPr>
                  <w:r>
                    <w:rPr>
                      <w:rFonts w:ascii="Times New Roman" w:hAnsi="Times New Roman"/>
                      <w:kern w:val="0"/>
                      <w:sz w:val="24"/>
                    </w:rPr>
                    <w:t>教育层次</w:t>
                  </w:r>
                </w:p>
              </w:tc>
              <w:tc>
                <w:tcPr>
                  <w:tcW w:w="2820" w:type="dxa"/>
                  <w:tcBorders>
                    <w:top w:val="nil"/>
                    <w:left w:val="nil"/>
                    <w:bottom w:val="single" w:color="auto" w:sz="4" w:space="0"/>
                    <w:right w:val="nil"/>
                  </w:tcBorders>
                  <w:noWrap/>
                  <w:vAlign w:val="bottom"/>
                </w:tcPr>
                <w:p w14:paraId="468E577D">
                  <w:pPr>
                    <w:widowControl/>
                    <w:jc w:val="left"/>
                    <w:rPr>
                      <w:rFonts w:ascii="Times New Roman" w:hAnsi="Times New Roman"/>
                      <w:kern w:val="0"/>
                      <w:sz w:val="24"/>
                    </w:rPr>
                  </w:pPr>
                  <w:r>
                    <w:rPr>
                      <w:rFonts w:ascii="Times New Roman" w:hAnsi="Times New Roman"/>
                      <w:kern w:val="0"/>
                      <w:sz w:val="24"/>
                    </w:rPr>
                    <w:t>　</w:t>
                  </w:r>
                </w:p>
              </w:tc>
            </w:tr>
            <w:tr w14:paraId="519C9B19">
              <w:tblPrEx>
                <w:tblCellMar>
                  <w:top w:w="0" w:type="dxa"/>
                  <w:left w:w="108" w:type="dxa"/>
                  <w:bottom w:w="0" w:type="dxa"/>
                  <w:right w:w="108" w:type="dxa"/>
                </w:tblCellMar>
              </w:tblPrEx>
              <w:trPr>
                <w:trHeight w:val="1566" w:hRule="atLeast"/>
              </w:trPr>
              <w:tc>
                <w:tcPr>
                  <w:tcW w:w="1300" w:type="dxa"/>
                  <w:tcBorders>
                    <w:top w:val="nil"/>
                    <w:left w:val="nil"/>
                    <w:bottom w:val="nil"/>
                    <w:right w:val="nil"/>
                  </w:tcBorders>
                  <w:noWrap/>
                  <w:vAlign w:val="bottom"/>
                </w:tcPr>
                <w:p w14:paraId="082CB5A3">
                  <w:pPr>
                    <w:widowControl/>
                    <w:rPr>
                      <w:rFonts w:ascii="Times New Roman" w:hAnsi="Times New Roman"/>
                      <w:kern w:val="0"/>
                      <w:sz w:val="24"/>
                    </w:rPr>
                  </w:pPr>
                  <w:r>
                    <w:rPr>
                      <w:rFonts w:ascii="Times New Roman" w:hAnsi="Times New Roman"/>
                      <w:kern w:val="0"/>
                      <w:sz w:val="24"/>
                    </w:rPr>
                    <w:t>学号</w:t>
                  </w:r>
                </w:p>
              </w:tc>
              <w:tc>
                <w:tcPr>
                  <w:tcW w:w="2800" w:type="dxa"/>
                  <w:tcBorders>
                    <w:top w:val="nil"/>
                    <w:left w:val="nil"/>
                    <w:bottom w:val="single" w:color="auto" w:sz="4" w:space="0"/>
                    <w:right w:val="nil"/>
                  </w:tcBorders>
                  <w:noWrap/>
                  <w:vAlign w:val="bottom"/>
                </w:tcPr>
                <w:p w14:paraId="3640DB66">
                  <w:pPr>
                    <w:widowControl/>
                    <w:jc w:val="left"/>
                    <w:rPr>
                      <w:rFonts w:ascii="Times New Roman" w:hAnsi="Times New Roman"/>
                      <w:kern w:val="0"/>
                      <w:sz w:val="24"/>
                    </w:rPr>
                  </w:pPr>
                  <w:r>
                    <w:rPr>
                      <w:rFonts w:ascii="Times New Roman" w:hAnsi="Times New Roman"/>
                      <w:kern w:val="0"/>
                      <w:sz w:val="24"/>
                    </w:rPr>
                    <w:t>　</w:t>
                  </w:r>
                </w:p>
              </w:tc>
              <w:tc>
                <w:tcPr>
                  <w:tcW w:w="1200" w:type="dxa"/>
                  <w:tcBorders>
                    <w:top w:val="nil"/>
                    <w:left w:val="nil"/>
                    <w:bottom w:val="nil"/>
                    <w:right w:val="nil"/>
                  </w:tcBorders>
                  <w:noWrap/>
                  <w:vAlign w:val="bottom"/>
                </w:tcPr>
                <w:p w14:paraId="712D9FD5">
                  <w:pPr>
                    <w:widowControl/>
                    <w:rPr>
                      <w:rFonts w:ascii="Times New Roman" w:hAnsi="Times New Roman"/>
                      <w:kern w:val="0"/>
                      <w:sz w:val="24"/>
                    </w:rPr>
                  </w:pPr>
                  <w:r>
                    <w:rPr>
                      <w:rFonts w:ascii="Times New Roman" w:hAnsi="Times New Roman"/>
                      <w:kern w:val="0"/>
                      <w:sz w:val="24"/>
                    </w:rPr>
                    <w:t>分    部</w:t>
                  </w:r>
                </w:p>
              </w:tc>
              <w:tc>
                <w:tcPr>
                  <w:tcW w:w="2820" w:type="dxa"/>
                  <w:tcBorders>
                    <w:top w:val="nil"/>
                    <w:left w:val="nil"/>
                    <w:bottom w:val="single" w:color="auto" w:sz="4" w:space="0"/>
                    <w:right w:val="nil"/>
                  </w:tcBorders>
                  <w:noWrap/>
                  <w:vAlign w:val="bottom"/>
                </w:tcPr>
                <w:p w14:paraId="7E59AF07">
                  <w:pPr>
                    <w:widowControl/>
                    <w:jc w:val="left"/>
                    <w:rPr>
                      <w:rFonts w:ascii="Times New Roman" w:hAnsi="Times New Roman"/>
                      <w:kern w:val="0"/>
                      <w:sz w:val="24"/>
                    </w:rPr>
                  </w:pPr>
                  <w:r>
                    <w:rPr>
                      <w:rFonts w:ascii="Times New Roman" w:hAnsi="Times New Roman"/>
                      <w:kern w:val="0"/>
                      <w:sz w:val="24"/>
                    </w:rPr>
                    <w:t>　</w:t>
                  </w:r>
                </w:p>
              </w:tc>
            </w:tr>
            <w:tr w14:paraId="11848B4E">
              <w:tblPrEx>
                <w:tblCellMar>
                  <w:top w:w="0" w:type="dxa"/>
                  <w:left w:w="108" w:type="dxa"/>
                  <w:bottom w:w="0" w:type="dxa"/>
                  <w:right w:w="108" w:type="dxa"/>
                </w:tblCellMar>
              </w:tblPrEx>
              <w:trPr>
                <w:trHeight w:val="1405" w:hRule="atLeast"/>
              </w:trPr>
              <w:tc>
                <w:tcPr>
                  <w:tcW w:w="1300" w:type="dxa"/>
                  <w:tcBorders>
                    <w:top w:val="nil"/>
                    <w:left w:val="nil"/>
                    <w:bottom w:val="nil"/>
                    <w:right w:val="nil"/>
                  </w:tcBorders>
                  <w:noWrap/>
                  <w:vAlign w:val="bottom"/>
                </w:tcPr>
                <w:p w14:paraId="7FF6FC26">
                  <w:pPr>
                    <w:widowControl/>
                    <w:rPr>
                      <w:rFonts w:ascii="Times New Roman" w:hAnsi="Times New Roman"/>
                      <w:kern w:val="0"/>
                      <w:sz w:val="24"/>
                    </w:rPr>
                  </w:pPr>
                  <w:r>
                    <w:rPr>
                      <w:rFonts w:ascii="Times New Roman" w:hAnsi="Times New Roman"/>
                      <w:kern w:val="0"/>
                      <w:sz w:val="24"/>
                    </w:rPr>
                    <w:t>专业</w:t>
                  </w:r>
                </w:p>
              </w:tc>
              <w:tc>
                <w:tcPr>
                  <w:tcW w:w="2800" w:type="dxa"/>
                  <w:tcBorders>
                    <w:top w:val="nil"/>
                    <w:left w:val="nil"/>
                    <w:bottom w:val="single" w:color="auto" w:sz="4" w:space="0"/>
                    <w:right w:val="nil"/>
                  </w:tcBorders>
                  <w:noWrap/>
                  <w:vAlign w:val="bottom"/>
                </w:tcPr>
                <w:p w14:paraId="4134377D">
                  <w:pPr>
                    <w:widowControl/>
                    <w:jc w:val="left"/>
                    <w:rPr>
                      <w:rFonts w:ascii="Times New Roman" w:hAnsi="Times New Roman"/>
                      <w:kern w:val="0"/>
                      <w:sz w:val="24"/>
                    </w:rPr>
                  </w:pPr>
                  <w:r>
                    <w:rPr>
                      <w:rFonts w:ascii="Times New Roman" w:hAnsi="Times New Roman"/>
                      <w:kern w:val="0"/>
                      <w:sz w:val="24"/>
                    </w:rPr>
                    <w:t>　</w:t>
                  </w:r>
                </w:p>
              </w:tc>
              <w:tc>
                <w:tcPr>
                  <w:tcW w:w="1200" w:type="dxa"/>
                  <w:tcBorders>
                    <w:top w:val="nil"/>
                    <w:left w:val="nil"/>
                    <w:bottom w:val="nil"/>
                    <w:right w:val="nil"/>
                  </w:tcBorders>
                  <w:noWrap/>
                  <w:vAlign w:val="bottom"/>
                </w:tcPr>
                <w:p w14:paraId="0B418FA7">
                  <w:pPr>
                    <w:widowControl/>
                    <w:ind w:firstLine="240" w:firstLineChars="100"/>
                    <w:rPr>
                      <w:rFonts w:ascii="Times New Roman" w:hAnsi="Times New Roman"/>
                      <w:kern w:val="0"/>
                      <w:sz w:val="24"/>
                    </w:rPr>
                  </w:pPr>
                  <w:r>
                    <w:rPr>
                      <w:rFonts w:ascii="Times New Roman" w:hAnsi="Times New Roman"/>
                      <w:kern w:val="0"/>
                      <w:sz w:val="24"/>
                    </w:rPr>
                    <w:t>学院</w:t>
                  </w:r>
                </w:p>
                <w:p w14:paraId="6D30B9F4">
                  <w:pPr>
                    <w:widowControl/>
                    <w:rPr>
                      <w:rFonts w:ascii="Times New Roman" w:hAnsi="Times New Roman"/>
                      <w:kern w:val="0"/>
                      <w:sz w:val="24"/>
                    </w:rPr>
                  </w:pPr>
                  <w:r>
                    <w:rPr>
                      <w:rFonts w:ascii="Times New Roman" w:hAnsi="Times New Roman"/>
                      <w:kern w:val="0"/>
                      <w:sz w:val="24"/>
                    </w:rPr>
                    <w:t>（分校）</w:t>
                  </w:r>
                </w:p>
              </w:tc>
              <w:tc>
                <w:tcPr>
                  <w:tcW w:w="2820" w:type="dxa"/>
                  <w:tcBorders>
                    <w:top w:val="nil"/>
                    <w:left w:val="nil"/>
                    <w:bottom w:val="single" w:color="auto" w:sz="4" w:space="0"/>
                    <w:right w:val="nil"/>
                  </w:tcBorders>
                  <w:noWrap/>
                  <w:vAlign w:val="bottom"/>
                </w:tcPr>
                <w:p w14:paraId="015AC001">
                  <w:pPr>
                    <w:widowControl/>
                    <w:jc w:val="left"/>
                    <w:rPr>
                      <w:rFonts w:ascii="Times New Roman" w:hAnsi="Times New Roman"/>
                      <w:kern w:val="0"/>
                      <w:sz w:val="24"/>
                    </w:rPr>
                  </w:pPr>
                  <w:r>
                    <w:rPr>
                      <w:rFonts w:ascii="Times New Roman" w:hAnsi="Times New Roman"/>
                      <w:kern w:val="0"/>
                      <w:sz w:val="24"/>
                    </w:rPr>
                    <w:t>　</w:t>
                  </w:r>
                </w:p>
              </w:tc>
            </w:tr>
            <w:tr w14:paraId="79FC3862">
              <w:tblPrEx>
                <w:tblCellMar>
                  <w:top w:w="0" w:type="dxa"/>
                  <w:left w:w="108" w:type="dxa"/>
                  <w:bottom w:w="0" w:type="dxa"/>
                  <w:right w:w="108" w:type="dxa"/>
                </w:tblCellMar>
              </w:tblPrEx>
              <w:trPr>
                <w:trHeight w:val="1397" w:hRule="atLeast"/>
              </w:trPr>
              <w:tc>
                <w:tcPr>
                  <w:tcW w:w="1300" w:type="dxa"/>
                  <w:tcBorders>
                    <w:top w:val="nil"/>
                    <w:left w:val="nil"/>
                    <w:bottom w:val="nil"/>
                    <w:right w:val="nil"/>
                  </w:tcBorders>
                  <w:noWrap/>
                  <w:vAlign w:val="bottom"/>
                </w:tcPr>
                <w:p w14:paraId="24E0F7DF">
                  <w:pPr>
                    <w:widowControl/>
                    <w:rPr>
                      <w:rFonts w:ascii="Times New Roman" w:hAnsi="Times New Roman"/>
                      <w:kern w:val="0"/>
                      <w:sz w:val="24"/>
                    </w:rPr>
                  </w:pPr>
                  <w:r>
                    <w:rPr>
                      <w:rFonts w:ascii="Times New Roman" w:hAnsi="Times New Roman"/>
                      <w:kern w:val="0"/>
                      <w:sz w:val="24"/>
                    </w:rPr>
                    <w:t>指导教师</w:t>
                  </w:r>
                </w:p>
              </w:tc>
              <w:tc>
                <w:tcPr>
                  <w:tcW w:w="2800" w:type="dxa"/>
                  <w:tcBorders>
                    <w:top w:val="nil"/>
                    <w:left w:val="nil"/>
                    <w:bottom w:val="single" w:color="auto" w:sz="4" w:space="0"/>
                    <w:right w:val="nil"/>
                  </w:tcBorders>
                  <w:noWrap/>
                  <w:vAlign w:val="bottom"/>
                </w:tcPr>
                <w:p w14:paraId="6591DE65">
                  <w:pPr>
                    <w:widowControl/>
                    <w:jc w:val="left"/>
                    <w:rPr>
                      <w:rFonts w:ascii="Times New Roman" w:hAnsi="Times New Roman"/>
                      <w:kern w:val="0"/>
                      <w:sz w:val="24"/>
                    </w:rPr>
                  </w:pPr>
                  <w:r>
                    <w:rPr>
                      <w:rFonts w:ascii="Times New Roman" w:hAnsi="Times New Roman"/>
                      <w:kern w:val="0"/>
                      <w:sz w:val="24"/>
                    </w:rPr>
                    <w:t>　</w:t>
                  </w:r>
                </w:p>
              </w:tc>
              <w:tc>
                <w:tcPr>
                  <w:tcW w:w="1200" w:type="dxa"/>
                  <w:tcBorders>
                    <w:top w:val="nil"/>
                    <w:left w:val="nil"/>
                    <w:bottom w:val="nil"/>
                    <w:right w:val="nil"/>
                  </w:tcBorders>
                  <w:noWrap/>
                  <w:vAlign w:val="bottom"/>
                </w:tcPr>
                <w:p w14:paraId="280DA99D">
                  <w:pPr>
                    <w:widowControl/>
                    <w:rPr>
                      <w:rFonts w:ascii="Times New Roman" w:hAnsi="Times New Roman"/>
                      <w:kern w:val="0"/>
                      <w:sz w:val="24"/>
                    </w:rPr>
                  </w:pPr>
                  <w:r>
                    <w:rPr>
                      <w:rFonts w:ascii="Times New Roman" w:hAnsi="Times New Roman"/>
                      <w:kern w:val="0"/>
                      <w:sz w:val="24"/>
                    </w:rPr>
                    <w:t>学习中心</w:t>
                  </w:r>
                </w:p>
              </w:tc>
              <w:tc>
                <w:tcPr>
                  <w:tcW w:w="2820" w:type="dxa"/>
                  <w:tcBorders>
                    <w:top w:val="nil"/>
                    <w:left w:val="nil"/>
                    <w:bottom w:val="single" w:color="auto" w:sz="4" w:space="0"/>
                    <w:right w:val="nil"/>
                  </w:tcBorders>
                  <w:noWrap/>
                  <w:vAlign w:val="bottom"/>
                </w:tcPr>
                <w:p w14:paraId="2F30B0D2">
                  <w:pPr>
                    <w:widowControl/>
                    <w:jc w:val="left"/>
                    <w:rPr>
                      <w:rFonts w:ascii="Times New Roman" w:hAnsi="Times New Roman"/>
                      <w:kern w:val="0"/>
                      <w:sz w:val="24"/>
                    </w:rPr>
                  </w:pPr>
                  <w:r>
                    <w:rPr>
                      <w:rFonts w:ascii="Times New Roman" w:hAnsi="Times New Roman"/>
                      <w:kern w:val="0"/>
                      <w:sz w:val="24"/>
                    </w:rPr>
                    <w:t>　</w:t>
                  </w:r>
                </w:p>
              </w:tc>
            </w:tr>
          </w:tbl>
          <w:p w14:paraId="5C0C0E79">
            <w:pPr>
              <w:widowControl/>
              <w:jc w:val="left"/>
              <w:rPr>
                <w:rFonts w:ascii="Times New Roman" w:hAnsi="Times New Roman" w:eastAsia="Times New Roman"/>
                <w:kern w:val="0"/>
                <w:sz w:val="20"/>
                <w:szCs w:val="20"/>
              </w:rPr>
            </w:pPr>
          </w:p>
        </w:tc>
      </w:tr>
    </w:tbl>
    <w:p w14:paraId="2C3693E3">
      <w:pPr>
        <w:spacing w:line="520" w:lineRule="exact"/>
        <w:jc w:val="left"/>
        <w:rPr>
          <w:rFonts w:ascii="Times New Roman" w:hAnsi="Times New Roman"/>
          <w:sz w:val="24"/>
        </w:rPr>
      </w:pPr>
      <w:r>
        <w:rPr>
          <w:rFonts w:ascii="Times New Roman" w:hAnsi="Times New Roman"/>
        </w:rPr>
        <w:br w:type="page"/>
      </w:r>
      <w:r>
        <w:rPr>
          <w:rFonts w:ascii="Times New Roman" w:hAnsi="Times New Roman"/>
          <w:sz w:val="24"/>
        </w:rPr>
        <w:t>一、学位论文简介</w:t>
      </w:r>
    </w:p>
    <w:tbl>
      <w:tblPr>
        <w:tblStyle w:val="12"/>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473ED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8" w:hRule="atLeast"/>
        </w:trPr>
        <w:tc>
          <w:tcPr>
            <w:tcW w:w="8897" w:type="dxa"/>
          </w:tcPr>
          <w:p w14:paraId="44D434AB">
            <w:pPr>
              <w:rPr>
                <w:rFonts w:ascii="Times New Roman" w:hAnsi="Times New Roman"/>
                <w:sz w:val="24"/>
              </w:rPr>
            </w:pPr>
            <w:r>
              <w:rPr>
                <w:rFonts w:ascii="Times New Roman" w:hAnsi="Times New Roman"/>
                <w:sz w:val="24"/>
              </w:rPr>
              <w:t>介绍学位论文写作的过程、主要内容和创新点：</w:t>
            </w:r>
          </w:p>
          <w:p w14:paraId="1BF56FB8">
            <w:pPr>
              <w:rPr>
                <w:rFonts w:ascii="Times New Roman" w:hAnsi="Times New Roman"/>
                <w:b/>
                <w:spacing w:val="40"/>
                <w:sz w:val="32"/>
              </w:rPr>
            </w:pPr>
          </w:p>
          <w:p w14:paraId="31CBB964">
            <w:pPr>
              <w:rPr>
                <w:rFonts w:ascii="Times New Roman" w:hAnsi="Times New Roman"/>
                <w:b/>
                <w:spacing w:val="40"/>
                <w:sz w:val="32"/>
              </w:rPr>
            </w:pPr>
          </w:p>
          <w:p w14:paraId="6F93F91B">
            <w:pPr>
              <w:rPr>
                <w:rFonts w:ascii="Times New Roman" w:hAnsi="Times New Roman"/>
                <w:b/>
                <w:spacing w:val="40"/>
                <w:sz w:val="32"/>
              </w:rPr>
            </w:pPr>
          </w:p>
          <w:p w14:paraId="1AC88177">
            <w:pPr>
              <w:rPr>
                <w:rFonts w:ascii="Times New Roman" w:hAnsi="Times New Roman"/>
                <w:b/>
                <w:spacing w:val="40"/>
                <w:sz w:val="32"/>
              </w:rPr>
            </w:pPr>
          </w:p>
          <w:p w14:paraId="191B6110">
            <w:pPr>
              <w:rPr>
                <w:rFonts w:ascii="Times New Roman" w:hAnsi="Times New Roman"/>
                <w:b/>
                <w:spacing w:val="40"/>
                <w:sz w:val="32"/>
              </w:rPr>
            </w:pPr>
          </w:p>
          <w:p w14:paraId="4A676A72">
            <w:pPr>
              <w:rPr>
                <w:rFonts w:ascii="Times New Roman" w:hAnsi="Times New Roman"/>
                <w:b/>
                <w:spacing w:val="40"/>
                <w:sz w:val="32"/>
              </w:rPr>
            </w:pPr>
          </w:p>
          <w:p w14:paraId="7C6B63C3">
            <w:pPr>
              <w:rPr>
                <w:rFonts w:ascii="Times New Roman" w:hAnsi="Times New Roman"/>
                <w:b/>
                <w:spacing w:val="40"/>
                <w:sz w:val="32"/>
              </w:rPr>
            </w:pPr>
          </w:p>
          <w:p w14:paraId="3EDF3390">
            <w:pPr>
              <w:rPr>
                <w:rFonts w:ascii="Times New Roman" w:hAnsi="Times New Roman"/>
                <w:b/>
                <w:spacing w:val="40"/>
                <w:sz w:val="32"/>
              </w:rPr>
            </w:pPr>
          </w:p>
          <w:p w14:paraId="13CA01BE">
            <w:pPr>
              <w:rPr>
                <w:rFonts w:ascii="Times New Roman" w:hAnsi="Times New Roman"/>
                <w:b/>
                <w:spacing w:val="40"/>
                <w:sz w:val="32"/>
              </w:rPr>
            </w:pPr>
          </w:p>
          <w:p w14:paraId="47B1951D">
            <w:pPr>
              <w:rPr>
                <w:rFonts w:ascii="Times New Roman" w:hAnsi="Times New Roman"/>
                <w:b/>
                <w:spacing w:val="40"/>
                <w:sz w:val="32"/>
              </w:rPr>
            </w:pPr>
          </w:p>
          <w:p w14:paraId="02B25121">
            <w:pPr>
              <w:rPr>
                <w:rFonts w:ascii="Times New Roman" w:hAnsi="Times New Roman"/>
                <w:b/>
                <w:spacing w:val="40"/>
                <w:sz w:val="32"/>
              </w:rPr>
            </w:pPr>
          </w:p>
          <w:p w14:paraId="0DDF1F6E">
            <w:pPr>
              <w:rPr>
                <w:rFonts w:ascii="Times New Roman" w:hAnsi="Times New Roman"/>
                <w:b/>
                <w:spacing w:val="40"/>
                <w:sz w:val="32"/>
              </w:rPr>
            </w:pPr>
          </w:p>
          <w:p w14:paraId="43C57A88">
            <w:pPr>
              <w:rPr>
                <w:rFonts w:ascii="Times New Roman" w:hAnsi="Times New Roman"/>
                <w:b/>
                <w:spacing w:val="40"/>
                <w:sz w:val="32"/>
              </w:rPr>
            </w:pPr>
          </w:p>
          <w:p w14:paraId="09FA8D66">
            <w:pPr>
              <w:rPr>
                <w:rFonts w:ascii="Times New Roman" w:hAnsi="Times New Roman"/>
                <w:b/>
                <w:spacing w:val="40"/>
                <w:sz w:val="32"/>
              </w:rPr>
            </w:pPr>
          </w:p>
          <w:p w14:paraId="6C0F3B4C">
            <w:pPr>
              <w:rPr>
                <w:rFonts w:ascii="Times New Roman" w:hAnsi="Times New Roman"/>
                <w:b/>
                <w:spacing w:val="40"/>
                <w:sz w:val="32"/>
              </w:rPr>
            </w:pPr>
          </w:p>
          <w:p w14:paraId="1F62CA1F">
            <w:pPr>
              <w:rPr>
                <w:rFonts w:ascii="Times New Roman" w:hAnsi="Times New Roman"/>
                <w:b/>
                <w:spacing w:val="40"/>
                <w:sz w:val="32"/>
              </w:rPr>
            </w:pPr>
          </w:p>
          <w:p w14:paraId="2BF0D650">
            <w:pPr>
              <w:rPr>
                <w:rFonts w:ascii="Times New Roman" w:hAnsi="Times New Roman"/>
                <w:b/>
                <w:spacing w:val="40"/>
                <w:sz w:val="32"/>
              </w:rPr>
            </w:pPr>
          </w:p>
          <w:p w14:paraId="515A86BD">
            <w:pPr>
              <w:spacing w:line="520" w:lineRule="exact"/>
              <w:jc w:val="left"/>
              <w:rPr>
                <w:rFonts w:ascii="Times New Roman" w:hAnsi="Times New Roman"/>
                <w:spacing w:val="40"/>
                <w:sz w:val="28"/>
              </w:rPr>
            </w:pPr>
            <w:r>
              <w:rPr>
                <w:rFonts w:ascii="Times New Roman" w:hAnsi="Times New Roman"/>
                <w:b/>
                <w:spacing w:val="40"/>
                <w:sz w:val="32"/>
              </w:rPr>
              <w:t xml:space="preserve">                     </w:t>
            </w:r>
            <w:r>
              <w:rPr>
                <w:rFonts w:ascii="Times New Roman" w:hAnsi="Times New Roman"/>
              </w:rPr>
              <w:t xml:space="preserve"> </w:t>
            </w:r>
            <w:r>
              <w:rPr>
                <w:rFonts w:ascii="Times New Roman" w:hAnsi="Times New Roman"/>
                <w:sz w:val="24"/>
              </w:rPr>
              <w:t>学生（签名）：</w:t>
            </w:r>
          </w:p>
          <w:p w14:paraId="18EFEC09">
            <w:pPr>
              <w:spacing w:before="156" w:beforeLines="50" w:line="520" w:lineRule="exact"/>
              <w:jc w:val="left"/>
              <w:rPr>
                <w:rFonts w:ascii="Times New Roman" w:hAnsi="Times New Roman"/>
              </w:rPr>
            </w:pPr>
            <w:r>
              <w:rPr>
                <w:rFonts w:ascii="Times New Roman" w:hAnsi="Times New Roman"/>
                <w:b/>
                <w:spacing w:val="40"/>
              </w:rPr>
              <w:t xml:space="preserve">                                 </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年   </w:t>
            </w:r>
            <w:r>
              <w:rPr>
                <w:rFonts w:hint="eastAsia" w:ascii="Times New Roman" w:hAnsi="Times New Roman"/>
                <w:sz w:val="24"/>
              </w:rPr>
              <w:t xml:space="preserve"> </w:t>
            </w:r>
            <w:r>
              <w:rPr>
                <w:rFonts w:ascii="Times New Roman" w:hAnsi="Times New Roman"/>
                <w:sz w:val="24"/>
              </w:rPr>
              <w:t xml:space="preserve"> 月   </w:t>
            </w:r>
            <w:r>
              <w:rPr>
                <w:rFonts w:hint="eastAsia" w:ascii="Times New Roman" w:hAnsi="Times New Roman"/>
                <w:sz w:val="24"/>
              </w:rPr>
              <w:t xml:space="preserve"> </w:t>
            </w:r>
            <w:r>
              <w:rPr>
                <w:rFonts w:ascii="Times New Roman" w:hAnsi="Times New Roman"/>
                <w:sz w:val="24"/>
              </w:rPr>
              <w:t xml:space="preserve"> 日 </w:t>
            </w:r>
            <w:r>
              <w:rPr>
                <w:rFonts w:ascii="Times New Roman" w:hAnsi="Times New Roman"/>
                <w:b/>
                <w:spacing w:val="40"/>
                <w:sz w:val="32"/>
              </w:rPr>
              <w:t xml:space="preserve">                             </w:t>
            </w:r>
          </w:p>
        </w:tc>
      </w:tr>
    </w:tbl>
    <w:p w14:paraId="505465CA">
      <w:pPr>
        <w:spacing w:line="520" w:lineRule="exact"/>
        <w:jc w:val="left"/>
        <w:rPr>
          <w:rFonts w:ascii="Times New Roman" w:hAnsi="Times New Roman"/>
          <w:bCs/>
          <w:sz w:val="24"/>
        </w:rPr>
      </w:pPr>
      <w:r>
        <w:rPr>
          <w:rFonts w:ascii="Times New Roman" w:hAnsi="Times New Roman"/>
        </w:rPr>
        <w:br w:type="page"/>
      </w:r>
      <w:r>
        <w:rPr>
          <w:rFonts w:ascii="Times New Roman" w:hAnsi="Times New Roman"/>
          <w:sz w:val="24"/>
        </w:rPr>
        <w:t>二、论文指导过程</w:t>
      </w:r>
    </w:p>
    <w:tbl>
      <w:tblPr>
        <w:tblStyle w:val="12"/>
        <w:tblW w:w="910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8536"/>
      </w:tblGrid>
      <w:tr w14:paraId="1E43F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5" w:hRule="atLeast"/>
        </w:trPr>
        <w:tc>
          <w:tcPr>
            <w:tcW w:w="568" w:type="dxa"/>
            <w:vAlign w:val="center"/>
          </w:tcPr>
          <w:p w14:paraId="50D1CF8C">
            <w:pPr>
              <w:spacing w:line="360" w:lineRule="exact"/>
              <w:jc w:val="center"/>
              <w:rPr>
                <w:rFonts w:ascii="Times New Roman" w:hAnsi="Times New Roman"/>
                <w:sz w:val="24"/>
              </w:rPr>
            </w:pPr>
            <w:r>
              <w:rPr>
                <w:rFonts w:ascii="Times New Roman" w:hAnsi="Times New Roman"/>
                <w:sz w:val="24"/>
              </w:rPr>
              <w:t>选题 指 导</w:t>
            </w:r>
          </w:p>
        </w:tc>
        <w:tc>
          <w:tcPr>
            <w:tcW w:w="8536" w:type="dxa"/>
          </w:tcPr>
          <w:p w14:paraId="1C140D8C">
            <w:pPr>
              <w:spacing w:line="360" w:lineRule="exact"/>
              <w:rPr>
                <w:rFonts w:ascii="Times New Roman" w:hAnsi="Times New Roman"/>
                <w:sz w:val="24"/>
              </w:rPr>
            </w:pPr>
            <w:r>
              <w:rPr>
                <w:rFonts w:ascii="Times New Roman" w:hAnsi="Times New Roman"/>
                <w:sz w:val="24"/>
              </w:rPr>
              <w:t>指导时间：</w:t>
            </w:r>
          </w:p>
          <w:p w14:paraId="4858659D">
            <w:pPr>
              <w:spacing w:line="360" w:lineRule="exact"/>
              <w:rPr>
                <w:rFonts w:ascii="Times New Roman" w:hAnsi="Times New Roman"/>
                <w:sz w:val="24"/>
              </w:rPr>
            </w:pPr>
          </w:p>
          <w:p w14:paraId="023F02E5">
            <w:pPr>
              <w:spacing w:line="360" w:lineRule="exact"/>
              <w:rPr>
                <w:rFonts w:ascii="Times New Roman" w:hAnsi="Times New Roman"/>
                <w:sz w:val="24"/>
              </w:rPr>
            </w:pPr>
            <w:r>
              <w:rPr>
                <w:rFonts w:ascii="Times New Roman" w:hAnsi="Times New Roman"/>
                <w:sz w:val="24"/>
              </w:rPr>
              <w:t>指导内容：</w:t>
            </w:r>
          </w:p>
          <w:p w14:paraId="465EA9E9">
            <w:pPr>
              <w:spacing w:line="360" w:lineRule="exact"/>
              <w:rPr>
                <w:rFonts w:ascii="Times New Roman" w:hAnsi="Times New Roman"/>
                <w:sz w:val="24"/>
              </w:rPr>
            </w:pPr>
          </w:p>
          <w:p w14:paraId="38A93B9F">
            <w:pPr>
              <w:spacing w:line="360" w:lineRule="exact"/>
              <w:rPr>
                <w:rFonts w:ascii="Times New Roman" w:hAnsi="Times New Roman"/>
                <w:sz w:val="24"/>
              </w:rPr>
            </w:pPr>
          </w:p>
          <w:p w14:paraId="4F61036D">
            <w:pPr>
              <w:spacing w:line="360" w:lineRule="exact"/>
              <w:rPr>
                <w:rFonts w:ascii="Times New Roman" w:hAnsi="Times New Roman"/>
                <w:sz w:val="24"/>
              </w:rPr>
            </w:pPr>
          </w:p>
          <w:p w14:paraId="57CD3D12">
            <w:pPr>
              <w:spacing w:line="360" w:lineRule="exact"/>
              <w:rPr>
                <w:rFonts w:ascii="Times New Roman" w:hAnsi="Times New Roman"/>
                <w:sz w:val="24"/>
              </w:rPr>
            </w:pPr>
          </w:p>
          <w:p w14:paraId="77ACB886">
            <w:pPr>
              <w:spacing w:line="360" w:lineRule="exact"/>
              <w:rPr>
                <w:rFonts w:ascii="Times New Roman" w:hAnsi="Times New Roman"/>
                <w:sz w:val="24"/>
              </w:rPr>
            </w:pPr>
          </w:p>
          <w:p w14:paraId="382FD67B">
            <w:pPr>
              <w:spacing w:line="360" w:lineRule="exact"/>
              <w:rPr>
                <w:rFonts w:ascii="Times New Roman" w:hAnsi="Times New Roman"/>
                <w:sz w:val="24"/>
              </w:rPr>
            </w:pPr>
          </w:p>
        </w:tc>
      </w:tr>
      <w:tr w14:paraId="609F4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1" w:hRule="atLeast"/>
        </w:trPr>
        <w:tc>
          <w:tcPr>
            <w:tcW w:w="568" w:type="dxa"/>
            <w:vAlign w:val="center"/>
          </w:tcPr>
          <w:p w14:paraId="2FB8B703">
            <w:pPr>
              <w:spacing w:line="360" w:lineRule="exact"/>
              <w:jc w:val="center"/>
              <w:rPr>
                <w:rFonts w:ascii="Times New Roman" w:hAnsi="Times New Roman"/>
                <w:sz w:val="24"/>
              </w:rPr>
            </w:pPr>
            <w:r>
              <w:rPr>
                <w:rFonts w:ascii="Times New Roman" w:hAnsi="Times New Roman"/>
                <w:sz w:val="24"/>
              </w:rPr>
              <w:t>开题 指 导</w:t>
            </w:r>
          </w:p>
        </w:tc>
        <w:tc>
          <w:tcPr>
            <w:tcW w:w="8536" w:type="dxa"/>
          </w:tcPr>
          <w:p w14:paraId="5C51BF63">
            <w:pPr>
              <w:spacing w:line="360" w:lineRule="exact"/>
              <w:rPr>
                <w:rFonts w:ascii="Times New Roman" w:hAnsi="Times New Roman"/>
                <w:sz w:val="24"/>
              </w:rPr>
            </w:pPr>
            <w:r>
              <w:rPr>
                <w:rFonts w:ascii="Times New Roman" w:hAnsi="Times New Roman"/>
                <w:sz w:val="24"/>
              </w:rPr>
              <w:t>指导时间：</w:t>
            </w:r>
          </w:p>
          <w:p w14:paraId="472815E0">
            <w:pPr>
              <w:spacing w:line="360" w:lineRule="exact"/>
              <w:rPr>
                <w:rFonts w:ascii="Times New Roman" w:hAnsi="Times New Roman"/>
                <w:sz w:val="24"/>
              </w:rPr>
            </w:pPr>
          </w:p>
          <w:p w14:paraId="67DC1534">
            <w:pPr>
              <w:spacing w:line="360" w:lineRule="exact"/>
              <w:rPr>
                <w:rFonts w:ascii="Times New Roman" w:hAnsi="Times New Roman"/>
                <w:sz w:val="24"/>
              </w:rPr>
            </w:pPr>
            <w:r>
              <w:rPr>
                <w:rFonts w:ascii="Times New Roman" w:hAnsi="Times New Roman"/>
                <w:sz w:val="24"/>
              </w:rPr>
              <w:t>指导内容：</w:t>
            </w:r>
          </w:p>
          <w:p w14:paraId="01265C23">
            <w:pPr>
              <w:spacing w:line="360" w:lineRule="exact"/>
              <w:rPr>
                <w:rFonts w:ascii="Times New Roman" w:hAnsi="Times New Roman"/>
                <w:sz w:val="24"/>
              </w:rPr>
            </w:pPr>
          </w:p>
          <w:p w14:paraId="37A961F0">
            <w:pPr>
              <w:spacing w:line="360" w:lineRule="exact"/>
              <w:rPr>
                <w:rFonts w:ascii="Times New Roman" w:hAnsi="Times New Roman"/>
                <w:sz w:val="24"/>
              </w:rPr>
            </w:pPr>
          </w:p>
          <w:p w14:paraId="781F0901">
            <w:pPr>
              <w:spacing w:line="360" w:lineRule="exact"/>
              <w:rPr>
                <w:rFonts w:ascii="Times New Roman" w:hAnsi="Times New Roman"/>
                <w:sz w:val="24"/>
              </w:rPr>
            </w:pPr>
          </w:p>
          <w:p w14:paraId="59A96858">
            <w:pPr>
              <w:spacing w:line="360" w:lineRule="exact"/>
              <w:rPr>
                <w:rFonts w:ascii="Times New Roman" w:hAnsi="Times New Roman"/>
                <w:sz w:val="24"/>
              </w:rPr>
            </w:pPr>
          </w:p>
          <w:p w14:paraId="5314D0E8">
            <w:pPr>
              <w:spacing w:line="360" w:lineRule="exact"/>
              <w:rPr>
                <w:rFonts w:ascii="Times New Roman" w:hAnsi="Times New Roman"/>
                <w:sz w:val="24"/>
              </w:rPr>
            </w:pPr>
          </w:p>
        </w:tc>
      </w:tr>
      <w:tr w14:paraId="21282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9" w:hRule="atLeast"/>
        </w:trPr>
        <w:tc>
          <w:tcPr>
            <w:tcW w:w="568" w:type="dxa"/>
            <w:vAlign w:val="center"/>
          </w:tcPr>
          <w:p w14:paraId="593724B6">
            <w:pPr>
              <w:spacing w:line="360" w:lineRule="exact"/>
              <w:jc w:val="center"/>
              <w:rPr>
                <w:rFonts w:ascii="Times New Roman" w:hAnsi="Times New Roman"/>
                <w:sz w:val="24"/>
              </w:rPr>
            </w:pPr>
            <w:r>
              <w:rPr>
                <w:rFonts w:ascii="Times New Roman" w:hAnsi="Times New Roman"/>
                <w:sz w:val="24"/>
              </w:rPr>
              <w:t>初稿 指 导</w:t>
            </w:r>
          </w:p>
        </w:tc>
        <w:tc>
          <w:tcPr>
            <w:tcW w:w="8536" w:type="dxa"/>
          </w:tcPr>
          <w:p w14:paraId="33884A36">
            <w:pPr>
              <w:spacing w:line="360" w:lineRule="exact"/>
              <w:rPr>
                <w:rFonts w:ascii="Times New Roman" w:hAnsi="Times New Roman"/>
                <w:sz w:val="24"/>
              </w:rPr>
            </w:pPr>
            <w:r>
              <w:rPr>
                <w:rFonts w:ascii="Times New Roman" w:hAnsi="Times New Roman"/>
                <w:sz w:val="24"/>
              </w:rPr>
              <w:t>指导时间：</w:t>
            </w:r>
          </w:p>
          <w:p w14:paraId="0E93C945">
            <w:pPr>
              <w:spacing w:line="360" w:lineRule="exact"/>
              <w:rPr>
                <w:rFonts w:ascii="Times New Roman" w:hAnsi="Times New Roman"/>
                <w:sz w:val="24"/>
              </w:rPr>
            </w:pPr>
          </w:p>
          <w:p w14:paraId="569D12C3">
            <w:pPr>
              <w:spacing w:line="360" w:lineRule="exact"/>
              <w:rPr>
                <w:rFonts w:ascii="Times New Roman" w:hAnsi="Times New Roman"/>
                <w:sz w:val="24"/>
              </w:rPr>
            </w:pPr>
            <w:r>
              <w:rPr>
                <w:rFonts w:ascii="Times New Roman" w:hAnsi="Times New Roman"/>
                <w:sz w:val="24"/>
              </w:rPr>
              <w:t>指导内容：</w:t>
            </w:r>
          </w:p>
          <w:p w14:paraId="62E5B39B">
            <w:pPr>
              <w:spacing w:line="360" w:lineRule="exact"/>
              <w:rPr>
                <w:rFonts w:ascii="Times New Roman" w:hAnsi="Times New Roman"/>
                <w:sz w:val="24"/>
              </w:rPr>
            </w:pPr>
          </w:p>
        </w:tc>
      </w:tr>
      <w:tr w14:paraId="56987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4" w:hRule="atLeast"/>
        </w:trPr>
        <w:tc>
          <w:tcPr>
            <w:tcW w:w="568" w:type="dxa"/>
            <w:vAlign w:val="center"/>
          </w:tcPr>
          <w:p w14:paraId="1CC59A09">
            <w:pPr>
              <w:spacing w:line="360" w:lineRule="exact"/>
              <w:jc w:val="center"/>
              <w:rPr>
                <w:rFonts w:ascii="Times New Roman" w:hAnsi="Times New Roman"/>
                <w:sz w:val="24"/>
              </w:rPr>
            </w:pPr>
            <w:r>
              <w:rPr>
                <w:rFonts w:ascii="Times New Roman" w:hAnsi="Times New Roman"/>
                <w:sz w:val="24"/>
              </w:rPr>
              <w:t>修改稿指导</w:t>
            </w:r>
          </w:p>
        </w:tc>
        <w:tc>
          <w:tcPr>
            <w:tcW w:w="8536" w:type="dxa"/>
          </w:tcPr>
          <w:p w14:paraId="63B3190B">
            <w:pPr>
              <w:spacing w:line="360" w:lineRule="exact"/>
              <w:rPr>
                <w:rFonts w:ascii="Times New Roman" w:hAnsi="Times New Roman"/>
                <w:sz w:val="24"/>
              </w:rPr>
            </w:pPr>
            <w:r>
              <w:rPr>
                <w:rFonts w:ascii="Times New Roman" w:hAnsi="Times New Roman"/>
                <w:sz w:val="24"/>
              </w:rPr>
              <w:t>指导时间：</w:t>
            </w:r>
          </w:p>
          <w:p w14:paraId="68D4A9AA">
            <w:pPr>
              <w:spacing w:line="360" w:lineRule="exact"/>
              <w:rPr>
                <w:rFonts w:ascii="Times New Roman" w:hAnsi="Times New Roman"/>
                <w:sz w:val="24"/>
              </w:rPr>
            </w:pPr>
          </w:p>
          <w:p w14:paraId="417DC376">
            <w:pPr>
              <w:spacing w:line="360" w:lineRule="exact"/>
              <w:rPr>
                <w:rFonts w:ascii="Times New Roman" w:hAnsi="Times New Roman"/>
                <w:sz w:val="24"/>
              </w:rPr>
            </w:pPr>
            <w:r>
              <w:rPr>
                <w:rFonts w:ascii="Times New Roman" w:hAnsi="Times New Roman"/>
                <w:sz w:val="24"/>
              </w:rPr>
              <w:t>指导内容：</w:t>
            </w:r>
          </w:p>
          <w:p w14:paraId="10C06481">
            <w:pPr>
              <w:spacing w:line="360" w:lineRule="exact"/>
              <w:rPr>
                <w:rFonts w:ascii="Times New Roman" w:hAnsi="Times New Roman"/>
                <w:sz w:val="24"/>
              </w:rPr>
            </w:pPr>
          </w:p>
          <w:p w14:paraId="3FDC6C26">
            <w:pPr>
              <w:spacing w:line="360" w:lineRule="exact"/>
              <w:rPr>
                <w:rFonts w:ascii="Times New Roman" w:hAnsi="Times New Roman"/>
                <w:sz w:val="24"/>
              </w:rPr>
            </w:pPr>
          </w:p>
          <w:p w14:paraId="062DCBFE">
            <w:pPr>
              <w:spacing w:line="360" w:lineRule="exact"/>
              <w:rPr>
                <w:rFonts w:ascii="Times New Roman" w:hAnsi="Times New Roman"/>
                <w:sz w:val="24"/>
              </w:rPr>
            </w:pPr>
          </w:p>
          <w:p w14:paraId="25F78F1D">
            <w:pPr>
              <w:spacing w:line="360" w:lineRule="exact"/>
              <w:rPr>
                <w:rFonts w:ascii="Times New Roman" w:hAnsi="Times New Roman"/>
                <w:sz w:val="24"/>
              </w:rPr>
            </w:pPr>
          </w:p>
          <w:p w14:paraId="253A1C16">
            <w:pPr>
              <w:spacing w:line="360" w:lineRule="exact"/>
              <w:rPr>
                <w:rFonts w:ascii="Times New Roman" w:hAnsi="Times New Roman"/>
                <w:sz w:val="24"/>
              </w:rPr>
            </w:pPr>
          </w:p>
          <w:p w14:paraId="41543595">
            <w:pPr>
              <w:spacing w:line="360" w:lineRule="exact"/>
              <w:rPr>
                <w:rFonts w:ascii="Times New Roman" w:hAnsi="Times New Roman"/>
                <w:sz w:val="24"/>
              </w:rPr>
            </w:pPr>
          </w:p>
        </w:tc>
      </w:tr>
      <w:tr w14:paraId="0444B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8" w:hRule="atLeast"/>
        </w:trPr>
        <w:tc>
          <w:tcPr>
            <w:tcW w:w="568" w:type="dxa"/>
            <w:vAlign w:val="center"/>
          </w:tcPr>
          <w:p w14:paraId="32AC1D55">
            <w:pPr>
              <w:spacing w:line="360" w:lineRule="exact"/>
              <w:jc w:val="center"/>
              <w:rPr>
                <w:rFonts w:ascii="Times New Roman" w:hAnsi="Times New Roman"/>
                <w:sz w:val="24"/>
              </w:rPr>
            </w:pPr>
            <w:r>
              <w:rPr>
                <w:rFonts w:ascii="Times New Roman" w:hAnsi="Times New Roman"/>
                <w:sz w:val="24"/>
              </w:rPr>
              <w:t>终稿指导</w:t>
            </w:r>
          </w:p>
        </w:tc>
        <w:tc>
          <w:tcPr>
            <w:tcW w:w="8536" w:type="dxa"/>
          </w:tcPr>
          <w:p w14:paraId="0FEE2052">
            <w:pPr>
              <w:spacing w:line="360" w:lineRule="exact"/>
              <w:rPr>
                <w:rFonts w:ascii="Times New Roman" w:hAnsi="Times New Roman"/>
                <w:sz w:val="24"/>
              </w:rPr>
            </w:pPr>
            <w:r>
              <w:rPr>
                <w:rFonts w:ascii="Times New Roman" w:hAnsi="Times New Roman"/>
                <w:sz w:val="24"/>
              </w:rPr>
              <w:t>指导时间：</w:t>
            </w:r>
          </w:p>
          <w:p w14:paraId="3D5AA67B">
            <w:pPr>
              <w:spacing w:line="360" w:lineRule="exact"/>
              <w:rPr>
                <w:rFonts w:ascii="Times New Roman" w:hAnsi="Times New Roman"/>
                <w:sz w:val="24"/>
              </w:rPr>
            </w:pPr>
          </w:p>
          <w:p w14:paraId="59B19B77">
            <w:pPr>
              <w:spacing w:line="360" w:lineRule="exact"/>
              <w:rPr>
                <w:rFonts w:ascii="Times New Roman" w:hAnsi="Times New Roman"/>
                <w:sz w:val="24"/>
              </w:rPr>
            </w:pPr>
            <w:r>
              <w:rPr>
                <w:rFonts w:ascii="Times New Roman" w:hAnsi="Times New Roman"/>
                <w:sz w:val="24"/>
              </w:rPr>
              <w:t>指导内容：</w:t>
            </w:r>
          </w:p>
          <w:p w14:paraId="0DA61BD2">
            <w:pPr>
              <w:spacing w:line="360" w:lineRule="exact"/>
              <w:rPr>
                <w:rFonts w:ascii="Times New Roman" w:hAnsi="Times New Roman"/>
                <w:sz w:val="24"/>
              </w:rPr>
            </w:pPr>
          </w:p>
          <w:p w14:paraId="3885F6DF">
            <w:pPr>
              <w:spacing w:line="360" w:lineRule="exact"/>
              <w:rPr>
                <w:rFonts w:ascii="Times New Roman" w:hAnsi="Times New Roman"/>
                <w:sz w:val="24"/>
              </w:rPr>
            </w:pPr>
          </w:p>
          <w:p w14:paraId="065C899B">
            <w:pPr>
              <w:spacing w:line="360" w:lineRule="exact"/>
              <w:rPr>
                <w:rFonts w:ascii="Times New Roman" w:hAnsi="Times New Roman"/>
                <w:sz w:val="24"/>
              </w:rPr>
            </w:pPr>
          </w:p>
          <w:p w14:paraId="2717A274">
            <w:pPr>
              <w:spacing w:line="360" w:lineRule="exact"/>
              <w:rPr>
                <w:rFonts w:ascii="Times New Roman" w:hAnsi="Times New Roman"/>
                <w:sz w:val="24"/>
              </w:rPr>
            </w:pPr>
          </w:p>
          <w:p w14:paraId="50BFF6E2">
            <w:pPr>
              <w:spacing w:line="360" w:lineRule="exact"/>
              <w:rPr>
                <w:rFonts w:ascii="Times New Roman" w:hAnsi="Times New Roman"/>
                <w:sz w:val="24"/>
              </w:rPr>
            </w:pPr>
          </w:p>
          <w:p w14:paraId="6F6F2586">
            <w:pPr>
              <w:spacing w:line="360" w:lineRule="exact"/>
              <w:rPr>
                <w:rFonts w:ascii="Times New Roman" w:hAnsi="Times New Roman"/>
                <w:sz w:val="24"/>
              </w:rPr>
            </w:pPr>
          </w:p>
          <w:p w14:paraId="15FF7553">
            <w:pPr>
              <w:spacing w:line="360" w:lineRule="exact"/>
              <w:rPr>
                <w:rFonts w:ascii="Times New Roman" w:hAnsi="Times New Roman"/>
                <w:sz w:val="24"/>
              </w:rPr>
            </w:pPr>
          </w:p>
        </w:tc>
      </w:tr>
      <w:tr w14:paraId="76D15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1" w:hRule="atLeast"/>
        </w:trPr>
        <w:tc>
          <w:tcPr>
            <w:tcW w:w="568" w:type="dxa"/>
            <w:tcBorders>
              <w:bottom w:val="single" w:color="auto" w:sz="4" w:space="0"/>
            </w:tcBorders>
            <w:vAlign w:val="center"/>
          </w:tcPr>
          <w:p w14:paraId="5C26DB39">
            <w:pPr>
              <w:spacing w:line="480" w:lineRule="exact"/>
              <w:jc w:val="center"/>
              <w:rPr>
                <w:rFonts w:ascii="Times New Roman" w:hAnsi="Times New Roman"/>
                <w:sz w:val="24"/>
              </w:rPr>
            </w:pPr>
            <w:r>
              <w:rPr>
                <w:rFonts w:ascii="Times New Roman" w:hAnsi="Times New Roman"/>
                <w:sz w:val="24"/>
              </w:rPr>
              <w:t>指导教师评语</w:t>
            </w:r>
          </w:p>
        </w:tc>
        <w:tc>
          <w:tcPr>
            <w:tcW w:w="8536" w:type="dxa"/>
            <w:tcBorders>
              <w:bottom w:val="single" w:color="auto" w:sz="4" w:space="0"/>
            </w:tcBorders>
          </w:tcPr>
          <w:p w14:paraId="59B4FFFC">
            <w:pPr>
              <w:spacing w:line="480" w:lineRule="exact"/>
              <w:rPr>
                <w:rFonts w:ascii="Times New Roman" w:hAnsi="Times New Roman"/>
                <w:sz w:val="24"/>
              </w:rPr>
            </w:pPr>
          </w:p>
          <w:p w14:paraId="0FCD3E11">
            <w:pPr>
              <w:spacing w:line="480" w:lineRule="exact"/>
              <w:rPr>
                <w:rFonts w:ascii="Times New Roman" w:hAnsi="Times New Roman"/>
                <w:sz w:val="24"/>
              </w:rPr>
            </w:pPr>
          </w:p>
          <w:p w14:paraId="4FD2CBA5">
            <w:pPr>
              <w:spacing w:line="480" w:lineRule="exact"/>
              <w:rPr>
                <w:rFonts w:ascii="Times New Roman" w:hAnsi="Times New Roman"/>
                <w:sz w:val="24"/>
              </w:rPr>
            </w:pPr>
          </w:p>
          <w:p w14:paraId="64DB5EFE">
            <w:pPr>
              <w:spacing w:line="480" w:lineRule="exact"/>
              <w:rPr>
                <w:rFonts w:ascii="Times New Roman" w:hAnsi="Times New Roman"/>
                <w:sz w:val="24"/>
              </w:rPr>
            </w:pPr>
          </w:p>
          <w:p w14:paraId="4ED81F3F">
            <w:pPr>
              <w:spacing w:line="480" w:lineRule="exact"/>
              <w:rPr>
                <w:rFonts w:ascii="Times New Roman" w:hAnsi="Times New Roman"/>
                <w:sz w:val="24"/>
              </w:rPr>
            </w:pPr>
          </w:p>
          <w:p w14:paraId="5433A015">
            <w:pPr>
              <w:spacing w:line="480" w:lineRule="exact"/>
              <w:rPr>
                <w:rFonts w:ascii="Times New Roman" w:hAnsi="Times New Roman"/>
                <w:sz w:val="24"/>
              </w:rPr>
            </w:pPr>
          </w:p>
          <w:p w14:paraId="5B912A8E">
            <w:pPr>
              <w:ind w:firstLine="3840"/>
              <w:rPr>
                <w:rFonts w:ascii="Times New Roman" w:hAnsi="Times New Roman"/>
                <w:sz w:val="24"/>
              </w:rPr>
            </w:pPr>
          </w:p>
          <w:p w14:paraId="6B1A7D20">
            <w:pPr>
              <w:spacing w:line="480" w:lineRule="exact"/>
              <w:rPr>
                <w:rFonts w:ascii="Times New Roman" w:hAnsi="Times New Roman"/>
                <w:sz w:val="24"/>
              </w:rPr>
            </w:pPr>
            <w:r>
              <w:rPr>
                <w:rFonts w:ascii="Times New Roman" w:hAnsi="Times New Roman"/>
                <w:sz w:val="24"/>
              </w:rPr>
              <mc:AlternateContent>
                <mc:Choice Requires="wps">
                  <w:drawing>
                    <wp:anchor distT="0" distB="0" distL="114300" distR="114300" simplePos="0" relativeHeight="251662336" behindDoc="0" locked="0" layoutInCell="1" allowOverlap="1">
                      <wp:simplePos x="0" y="0"/>
                      <wp:positionH relativeFrom="column">
                        <wp:posOffset>121285</wp:posOffset>
                      </wp:positionH>
                      <wp:positionV relativeFrom="paragraph">
                        <wp:posOffset>215900</wp:posOffset>
                      </wp:positionV>
                      <wp:extent cx="1800225" cy="539750"/>
                      <wp:effectExtent l="0" t="0" r="28575" b="12700"/>
                      <wp:wrapNone/>
                      <wp:docPr id="104183711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800225" cy="539750"/>
                              </a:xfrm>
                              <a:prstGeom prst="rect">
                                <a:avLst/>
                              </a:prstGeom>
                              <a:solidFill>
                                <a:srgbClr val="FFFFFF"/>
                              </a:solidFill>
                              <a:ln w="9525">
                                <a:solidFill>
                                  <a:srgbClr val="000000"/>
                                </a:solidFill>
                                <a:miter lim="800000"/>
                              </a:ln>
                            </wps:spPr>
                            <wps:txbx>
                              <w:txbxContent>
                                <w:p w14:paraId="147DA1EE">
                                  <w:r>
                                    <w:rPr>
                                      <w:rFonts w:hint="eastAsia"/>
                                      <w:sz w:val="24"/>
                                    </w:rPr>
                                    <w:t>初评成绩：</w:t>
                                  </w:r>
                                </w:p>
                                <w:p w14:paraId="32B9E7C0"/>
                              </w:txbxContent>
                            </wps:txbx>
                            <wps:bodyPr rot="0" vert="horz" wrap="square" lIns="91440" tIns="45720" rIns="91440" bIns="45720" anchor="t" anchorCtr="0" upright="1">
                              <a:noAutofit/>
                            </wps:bodyPr>
                          </wps:wsp>
                        </a:graphicData>
                      </a:graphic>
                    </wp:anchor>
                  </w:drawing>
                </mc:Choice>
                <mc:Fallback>
                  <w:pict>
                    <v:shape id="文本框 2" o:spid="_x0000_s1026" o:spt="202" type="#_x0000_t202" style="position:absolute;left:0pt;margin-left:9.55pt;margin-top:17pt;height:42.5pt;width:141.75pt;z-index:251662336;mso-width-relative:page;mso-height-relative:page;" fillcolor="#FFFFFF" filled="t" stroked="t" coordsize="21600,21600" o:gfxdata="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rHwEItYAAAAJAQAADwAAAAAAAAABACAA&#10;AAAiAAAAZHJzL2Rvd25yZXYueG1sUEsBAhQAFAAAAAgAh07iQHPUtqxIAgAAkAQAAA4AAAAAAAAA&#10;AQAgAAAAJQEAAGRycy9lMm9Eb2MueG1sUEsFBgAAAAAGAAYAWQEAAN8FAAAAAA==&#10;">
                      <v:fill on="t" focussize="0,0"/>
                      <v:stroke color="#000000" miterlimit="8" joinstyle="miter"/>
                      <v:imagedata o:title=""/>
                      <o:lock v:ext="edit" aspectratio="f"/>
                      <v:textbox>
                        <w:txbxContent>
                          <w:p w14:paraId="147DA1EE">
                            <w:r>
                              <w:rPr>
                                <w:rFonts w:hint="eastAsia"/>
                                <w:sz w:val="24"/>
                              </w:rPr>
                              <w:t>初评成绩：</w:t>
                            </w:r>
                          </w:p>
                          <w:p w14:paraId="32B9E7C0"/>
                        </w:txbxContent>
                      </v:textbox>
                    </v:shape>
                  </w:pict>
                </mc:Fallback>
              </mc:AlternateContent>
            </w:r>
          </w:p>
          <w:p w14:paraId="723F11E8">
            <w:pPr>
              <w:rPr>
                <w:rFonts w:ascii="Times New Roman" w:hAnsi="Times New Roman"/>
                <w:sz w:val="24"/>
              </w:rPr>
            </w:pPr>
          </w:p>
          <w:p w14:paraId="789EF706">
            <w:pPr>
              <w:rPr>
                <w:rFonts w:ascii="Times New Roman" w:hAnsi="Times New Roman"/>
              </w:rPr>
            </w:pPr>
          </w:p>
          <w:p w14:paraId="0577AA3A">
            <w:pPr>
              <w:rPr>
                <w:rFonts w:ascii="Times New Roman" w:hAnsi="Times New Roman"/>
              </w:rPr>
            </w:pPr>
          </w:p>
          <w:p w14:paraId="5ACA2F16">
            <w:pPr>
              <w:spacing w:before="156" w:beforeLines="50" w:after="468" w:afterLines="150"/>
              <w:ind w:firstLine="3960" w:firstLineChars="1650"/>
              <w:rPr>
                <w:rFonts w:ascii="Times New Roman" w:hAnsi="Times New Roman"/>
                <w:sz w:val="24"/>
              </w:rPr>
            </w:pPr>
            <w:r>
              <w:rPr>
                <w:rFonts w:ascii="Times New Roman" w:hAnsi="Times New Roman"/>
                <w:sz w:val="24"/>
              </w:rPr>
              <w:t>指导教师（签名）：</w:t>
            </w:r>
          </w:p>
          <w:p w14:paraId="197D4BCA">
            <w:pPr>
              <w:spacing w:before="312" w:beforeLines="100" w:after="156" w:afterLines="50" w:line="320" w:lineRule="exact"/>
              <w:ind w:firstLine="5160" w:firstLineChars="2150"/>
              <w:rPr>
                <w:rFonts w:ascii="Times New Roman" w:hAnsi="Times New Roman"/>
                <w:sz w:val="24"/>
              </w:rPr>
            </w:pPr>
            <w:r>
              <w:rPr>
                <w:rFonts w:ascii="Times New Roman" w:hAnsi="Times New Roman"/>
                <w:sz w:val="24"/>
              </w:rPr>
              <w:t>年       月       日</w:t>
            </w:r>
          </w:p>
        </w:tc>
      </w:tr>
    </w:tbl>
    <w:p w14:paraId="3C49995F">
      <w:pPr>
        <w:spacing w:line="520" w:lineRule="exact"/>
        <w:jc w:val="left"/>
        <w:rPr>
          <w:rFonts w:ascii="Times New Roman" w:hAnsi="Times New Roman"/>
          <w:sz w:val="24"/>
        </w:rPr>
      </w:pPr>
    </w:p>
    <w:p w14:paraId="579D1373">
      <w:pPr>
        <w:spacing w:line="520" w:lineRule="exact"/>
        <w:jc w:val="left"/>
        <w:rPr>
          <w:rFonts w:ascii="Times New Roman" w:hAnsi="Times New Roman"/>
          <w:sz w:val="24"/>
        </w:rPr>
      </w:pPr>
      <w:r>
        <w:rPr>
          <w:rFonts w:ascii="Times New Roman" w:hAnsi="Times New Roman"/>
          <w:sz w:val="24"/>
        </w:rPr>
        <w:t>三、 论文答辩</w:t>
      </w:r>
    </w:p>
    <w:tbl>
      <w:tblPr>
        <w:tblStyle w:val="12"/>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1515"/>
        <w:gridCol w:w="2666"/>
        <w:gridCol w:w="1650"/>
        <w:gridCol w:w="2884"/>
      </w:tblGrid>
      <w:tr w14:paraId="58FF2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73" w:type="dxa"/>
            <w:vMerge w:val="restart"/>
            <w:vAlign w:val="center"/>
          </w:tcPr>
          <w:p w14:paraId="40000336">
            <w:pPr>
              <w:spacing w:line="480" w:lineRule="exact"/>
              <w:jc w:val="center"/>
              <w:rPr>
                <w:rFonts w:ascii="Times New Roman" w:hAnsi="Times New Roman"/>
                <w:sz w:val="24"/>
              </w:rPr>
            </w:pPr>
            <w:r>
              <w:rPr>
                <w:rFonts w:ascii="Times New Roman" w:hAnsi="Times New Roman"/>
                <w:sz w:val="24"/>
              </w:rPr>
              <w:t>答辩记录</w:t>
            </w:r>
          </w:p>
        </w:tc>
        <w:tc>
          <w:tcPr>
            <w:tcW w:w="1515" w:type="dxa"/>
            <w:vAlign w:val="center"/>
          </w:tcPr>
          <w:p w14:paraId="5B87FFB0">
            <w:pPr>
              <w:spacing w:line="320" w:lineRule="exact"/>
              <w:jc w:val="center"/>
              <w:rPr>
                <w:rFonts w:ascii="Times New Roman" w:hAnsi="Times New Roman"/>
                <w:sz w:val="24"/>
              </w:rPr>
            </w:pPr>
            <w:r>
              <w:rPr>
                <w:rFonts w:ascii="Times New Roman" w:hAnsi="Times New Roman"/>
                <w:sz w:val="24"/>
              </w:rPr>
              <w:t>答辩主持人</w:t>
            </w:r>
          </w:p>
        </w:tc>
        <w:tc>
          <w:tcPr>
            <w:tcW w:w="4316" w:type="dxa"/>
            <w:gridSpan w:val="2"/>
            <w:tcBorders>
              <w:right w:val="nil"/>
            </w:tcBorders>
            <w:vAlign w:val="center"/>
          </w:tcPr>
          <w:p w14:paraId="0B68F14F">
            <w:pPr>
              <w:spacing w:line="320" w:lineRule="exact"/>
              <w:rPr>
                <w:rFonts w:ascii="Times New Roman" w:hAnsi="Times New Roman"/>
                <w:sz w:val="24"/>
              </w:rPr>
            </w:pPr>
          </w:p>
        </w:tc>
        <w:tc>
          <w:tcPr>
            <w:tcW w:w="2884" w:type="dxa"/>
            <w:tcBorders>
              <w:left w:val="nil"/>
            </w:tcBorders>
            <w:vAlign w:val="center"/>
          </w:tcPr>
          <w:p w14:paraId="53FE2C87">
            <w:pPr>
              <w:spacing w:line="320" w:lineRule="exact"/>
              <w:jc w:val="left"/>
              <w:rPr>
                <w:rFonts w:ascii="Times New Roman" w:hAnsi="Times New Roman"/>
                <w:sz w:val="24"/>
              </w:rPr>
            </w:pPr>
          </w:p>
        </w:tc>
      </w:tr>
      <w:tr w14:paraId="3EF2C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exact"/>
        </w:trPr>
        <w:tc>
          <w:tcPr>
            <w:tcW w:w="573" w:type="dxa"/>
            <w:vMerge w:val="continue"/>
            <w:vAlign w:val="center"/>
          </w:tcPr>
          <w:p w14:paraId="4F67DB0B">
            <w:pPr>
              <w:spacing w:line="480" w:lineRule="exact"/>
              <w:rPr>
                <w:rFonts w:ascii="Times New Roman" w:hAnsi="Times New Roman"/>
                <w:sz w:val="24"/>
              </w:rPr>
            </w:pPr>
          </w:p>
        </w:tc>
        <w:tc>
          <w:tcPr>
            <w:tcW w:w="1515" w:type="dxa"/>
            <w:vAlign w:val="center"/>
          </w:tcPr>
          <w:p w14:paraId="5E4B2144">
            <w:pPr>
              <w:spacing w:line="320" w:lineRule="exact"/>
              <w:jc w:val="center"/>
              <w:rPr>
                <w:rFonts w:ascii="Times New Roman" w:hAnsi="Times New Roman"/>
                <w:sz w:val="24"/>
              </w:rPr>
            </w:pPr>
            <w:r>
              <w:rPr>
                <w:rFonts w:ascii="Times New Roman" w:hAnsi="Times New Roman"/>
                <w:sz w:val="24"/>
              </w:rPr>
              <w:t>答辩小组</w:t>
            </w:r>
          </w:p>
          <w:p w14:paraId="0348199B">
            <w:pPr>
              <w:spacing w:line="320" w:lineRule="exact"/>
              <w:jc w:val="center"/>
              <w:rPr>
                <w:rFonts w:ascii="Times New Roman" w:hAnsi="Times New Roman" w:eastAsia="仿宋_GB2312"/>
                <w:sz w:val="24"/>
              </w:rPr>
            </w:pPr>
            <w:r>
              <w:rPr>
                <w:rFonts w:ascii="Times New Roman" w:hAnsi="Times New Roman"/>
                <w:sz w:val="24"/>
              </w:rPr>
              <w:t>成员</w:t>
            </w:r>
          </w:p>
        </w:tc>
        <w:tc>
          <w:tcPr>
            <w:tcW w:w="7200" w:type="dxa"/>
            <w:gridSpan w:val="3"/>
            <w:vAlign w:val="center"/>
          </w:tcPr>
          <w:p w14:paraId="000AF201">
            <w:pPr>
              <w:spacing w:line="320" w:lineRule="exact"/>
              <w:jc w:val="left"/>
              <w:rPr>
                <w:rFonts w:ascii="Times New Roman" w:hAnsi="Times New Roman" w:eastAsia="仿宋_GB2312"/>
                <w:sz w:val="24"/>
              </w:rPr>
            </w:pPr>
            <w:r>
              <w:rPr>
                <w:rFonts w:ascii="Times New Roman" w:hAnsi="Times New Roman" w:eastAsia="仿宋_GB2312"/>
                <w:color w:val="FF0000"/>
              </w:rPr>
              <w:t>（</w:t>
            </w:r>
            <w:r>
              <w:rPr>
                <w:rFonts w:ascii="Times New Roman" w:hAnsi="Times New Roman" w:eastAsia="仿宋_GB2312"/>
                <w:color w:val="FF0000"/>
                <w:sz w:val="24"/>
                <w:szCs w:val="30"/>
              </w:rPr>
              <w:t>须为3人及以上的单数。</w:t>
            </w:r>
            <w:r>
              <w:rPr>
                <w:rFonts w:ascii="Times New Roman" w:hAnsi="Times New Roman" w:eastAsia="仿宋_GB2312"/>
                <w:b/>
                <w:color w:val="FF0000"/>
                <w:sz w:val="24"/>
                <w:szCs w:val="30"/>
              </w:rPr>
              <w:t>小组成员包括</w:t>
            </w:r>
            <w:r>
              <w:rPr>
                <w:rFonts w:ascii="Times New Roman" w:hAnsi="Times New Roman" w:eastAsia="仿宋_GB2312"/>
                <w:color w:val="FF0000"/>
                <w:sz w:val="24"/>
                <w:szCs w:val="30"/>
              </w:rPr>
              <w:t>：答辩主持人1名，答辩教师若干名，副高级及以上专业技术职称者不少于2人</w:t>
            </w:r>
            <w:r>
              <w:rPr>
                <w:rFonts w:ascii="Times New Roman" w:hAnsi="Times New Roman" w:eastAsia="仿宋_GB2312"/>
                <w:color w:val="FF0000"/>
              </w:rPr>
              <w:t>）</w:t>
            </w:r>
            <w:r>
              <w:rPr>
                <w:rFonts w:ascii="Times New Roman" w:hAnsi="Times New Roman" w:eastAsia="仿宋_GB2312"/>
              </w:rPr>
              <w:t xml:space="preserve"> </w:t>
            </w:r>
            <w:r>
              <w:rPr>
                <w:rFonts w:ascii="Times New Roman" w:hAnsi="Times New Roman" w:eastAsia="仿宋_GB2312"/>
                <w:sz w:val="24"/>
              </w:rPr>
              <w:t xml:space="preserve">                 </w:t>
            </w:r>
          </w:p>
        </w:tc>
      </w:tr>
      <w:tr w14:paraId="7FC40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73" w:type="dxa"/>
            <w:vMerge w:val="continue"/>
            <w:vAlign w:val="center"/>
          </w:tcPr>
          <w:p w14:paraId="02E2912F">
            <w:pPr>
              <w:spacing w:line="480" w:lineRule="exact"/>
              <w:rPr>
                <w:rFonts w:ascii="Times New Roman" w:hAnsi="Times New Roman"/>
                <w:sz w:val="24"/>
              </w:rPr>
            </w:pPr>
          </w:p>
        </w:tc>
        <w:tc>
          <w:tcPr>
            <w:tcW w:w="1515" w:type="dxa"/>
            <w:vAlign w:val="center"/>
          </w:tcPr>
          <w:p w14:paraId="48E8651B">
            <w:pPr>
              <w:spacing w:line="320" w:lineRule="exact"/>
              <w:jc w:val="center"/>
              <w:rPr>
                <w:rFonts w:ascii="Times New Roman" w:hAnsi="Times New Roman"/>
                <w:sz w:val="24"/>
              </w:rPr>
            </w:pPr>
            <w:r>
              <w:rPr>
                <w:rFonts w:ascii="Times New Roman" w:hAnsi="Times New Roman"/>
                <w:sz w:val="24"/>
              </w:rPr>
              <w:t>秘   书</w:t>
            </w:r>
          </w:p>
        </w:tc>
        <w:tc>
          <w:tcPr>
            <w:tcW w:w="4316" w:type="dxa"/>
            <w:gridSpan w:val="2"/>
            <w:tcBorders>
              <w:right w:val="nil"/>
            </w:tcBorders>
            <w:vAlign w:val="center"/>
          </w:tcPr>
          <w:p w14:paraId="167B9D06">
            <w:pPr>
              <w:spacing w:line="320" w:lineRule="exact"/>
              <w:rPr>
                <w:rFonts w:ascii="Times New Roman" w:hAnsi="Times New Roman"/>
                <w:sz w:val="24"/>
              </w:rPr>
            </w:pPr>
          </w:p>
        </w:tc>
        <w:tc>
          <w:tcPr>
            <w:tcW w:w="2884" w:type="dxa"/>
            <w:tcBorders>
              <w:left w:val="nil"/>
            </w:tcBorders>
            <w:vAlign w:val="center"/>
          </w:tcPr>
          <w:p w14:paraId="1F439BFD">
            <w:pPr>
              <w:spacing w:line="320" w:lineRule="exact"/>
              <w:rPr>
                <w:rFonts w:ascii="Times New Roman" w:hAnsi="Times New Roman"/>
                <w:sz w:val="24"/>
              </w:rPr>
            </w:pPr>
          </w:p>
        </w:tc>
      </w:tr>
      <w:tr w14:paraId="44A79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73" w:type="dxa"/>
            <w:vMerge w:val="continue"/>
            <w:vAlign w:val="center"/>
          </w:tcPr>
          <w:p w14:paraId="1DE27A83">
            <w:pPr>
              <w:spacing w:line="480" w:lineRule="exact"/>
              <w:rPr>
                <w:rFonts w:ascii="Times New Roman" w:hAnsi="Times New Roman"/>
                <w:sz w:val="24"/>
              </w:rPr>
            </w:pPr>
          </w:p>
        </w:tc>
        <w:tc>
          <w:tcPr>
            <w:tcW w:w="1515" w:type="dxa"/>
            <w:vAlign w:val="center"/>
          </w:tcPr>
          <w:p w14:paraId="1482C6D7">
            <w:pPr>
              <w:spacing w:line="320" w:lineRule="exact"/>
              <w:jc w:val="center"/>
              <w:rPr>
                <w:rFonts w:ascii="Times New Roman" w:hAnsi="Times New Roman"/>
                <w:sz w:val="24"/>
              </w:rPr>
            </w:pPr>
            <w:r>
              <w:rPr>
                <w:rFonts w:ascii="Times New Roman" w:hAnsi="Times New Roman"/>
                <w:sz w:val="24"/>
              </w:rPr>
              <w:t>答辩日期</w:t>
            </w:r>
          </w:p>
        </w:tc>
        <w:tc>
          <w:tcPr>
            <w:tcW w:w="4316" w:type="dxa"/>
            <w:gridSpan w:val="2"/>
            <w:tcBorders>
              <w:right w:val="nil"/>
            </w:tcBorders>
            <w:vAlign w:val="center"/>
          </w:tcPr>
          <w:p w14:paraId="7812D203">
            <w:pPr>
              <w:spacing w:line="320" w:lineRule="exact"/>
              <w:rPr>
                <w:rFonts w:ascii="Times New Roman" w:hAnsi="Times New Roman"/>
                <w:sz w:val="24"/>
              </w:rPr>
            </w:pPr>
          </w:p>
        </w:tc>
        <w:tc>
          <w:tcPr>
            <w:tcW w:w="2884" w:type="dxa"/>
            <w:tcBorders>
              <w:left w:val="nil"/>
            </w:tcBorders>
            <w:vAlign w:val="center"/>
          </w:tcPr>
          <w:p w14:paraId="050FA7DE">
            <w:pPr>
              <w:spacing w:line="320" w:lineRule="exact"/>
              <w:rPr>
                <w:rFonts w:ascii="Times New Roman" w:hAnsi="Times New Roman"/>
                <w:sz w:val="24"/>
              </w:rPr>
            </w:pPr>
          </w:p>
        </w:tc>
      </w:tr>
      <w:tr w14:paraId="74503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573" w:type="dxa"/>
            <w:vMerge w:val="continue"/>
            <w:vAlign w:val="center"/>
          </w:tcPr>
          <w:p w14:paraId="6D3E1EE6">
            <w:pPr>
              <w:spacing w:line="480" w:lineRule="exact"/>
              <w:rPr>
                <w:rFonts w:ascii="Times New Roman" w:hAnsi="Times New Roman"/>
                <w:sz w:val="24"/>
              </w:rPr>
            </w:pPr>
          </w:p>
        </w:tc>
        <w:tc>
          <w:tcPr>
            <w:tcW w:w="4181" w:type="dxa"/>
            <w:gridSpan w:val="2"/>
            <w:vAlign w:val="center"/>
          </w:tcPr>
          <w:p w14:paraId="033455F8">
            <w:pPr>
              <w:spacing w:line="320" w:lineRule="exact"/>
              <w:jc w:val="center"/>
              <w:rPr>
                <w:rFonts w:ascii="Times New Roman" w:hAnsi="Times New Roman"/>
                <w:sz w:val="24"/>
              </w:rPr>
            </w:pPr>
            <w:r>
              <w:rPr>
                <w:rFonts w:ascii="Times New Roman" w:hAnsi="Times New Roman"/>
                <w:sz w:val="24"/>
              </w:rPr>
              <w:t>答辩教师提问</w:t>
            </w:r>
          </w:p>
        </w:tc>
        <w:tc>
          <w:tcPr>
            <w:tcW w:w="4534" w:type="dxa"/>
            <w:gridSpan w:val="2"/>
            <w:vAlign w:val="center"/>
          </w:tcPr>
          <w:p w14:paraId="09D2BAAD">
            <w:pPr>
              <w:spacing w:line="320" w:lineRule="exact"/>
              <w:jc w:val="center"/>
              <w:rPr>
                <w:rFonts w:ascii="Times New Roman" w:hAnsi="Times New Roman"/>
                <w:sz w:val="24"/>
              </w:rPr>
            </w:pPr>
            <w:r>
              <w:rPr>
                <w:rFonts w:ascii="Times New Roman" w:hAnsi="Times New Roman"/>
                <w:sz w:val="24"/>
              </w:rPr>
              <w:t>学生回答情况</w:t>
            </w:r>
          </w:p>
        </w:tc>
      </w:tr>
      <w:tr w14:paraId="486EE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trPr>
        <w:tc>
          <w:tcPr>
            <w:tcW w:w="573" w:type="dxa"/>
            <w:vMerge w:val="continue"/>
            <w:vAlign w:val="center"/>
          </w:tcPr>
          <w:p w14:paraId="459E8C30">
            <w:pPr>
              <w:spacing w:line="480" w:lineRule="exact"/>
              <w:rPr>
                <w:rFonts w:ascii="Times New Roman" w:hAnsi="Times New Roman"/>
                <w:sz w:val="24"/>
              </w:rPr>
            </w:pPr>
          </w:p>
        </w:tc>
        <w:tc>
          <w:tcPr>
            <w:tcW w:w="4181" w:type="dxa"/>
            <w:gridSpan w:val="2"/>
            <w:vAlign w:val="center"/>
          </w:tcPr>
          <w:p w14:paraId="6E74D657">
            <w:pPr>
              <w:spacing w:line="480" w:lineRule="exact"/>
              <w:rPr>
                <w:rFonts w:ascii="Times New Roman" w:hAnsi="Times New Roman" w:eastAsia="仿宋_GB2312"/>
                <w:sz w:val="24"/>
              </w:rPr>
            </w:pPr>
            <w:r>
              <w:rPr>
                <w:rFonts w:ascii="Times New Roman" w:hAnsi="Times New Roman" w:eastAsia="仿宋_GB2312"/>
                <w:sz w:val="24"/>
              </w:rPr>
              <w:t>1．</w:t>
            </w:r>
            <w:r>
              <w:rPr>
                <w:rFonts w:ascii="Times New Roman" w:hAnsi="Times New Roman" w:eastAsia="仿宋_GB2312"/>
                <w:color w:val="FF0000"/>
                <w:sz w:val="24"/>
                <w:szCs w:val="30"/>
              </w:rPr>
              <w:t>（指导教师在其本人指导的学生进行答辩时，不得担任该答辩小组成员。）</w:t>
            </w:r>
          </w:p>
          <w:p w14:paraId="134FBDB2">
            <w:pPr>
              <w:spacing w:line="480" w:lineRule="exact"/>
              <w:rPr>
                <w:rFonts w:ascii="Times New Roman" w:hAnsi="Times New Roman" w:eastAsia="仿宋_GB2312"/>
                <w:sz w:val="24"/>
              </w:rPr>
            </w:pPr>
          </w:p>
          <w:p w14:paraId="752D1354">
            <w:pPr>
              <w:spacing w:line="480" w:lineRule="exact"/>
              <w:rPr>
                <w:rFonts w:ascii="Times New Roman" w:hAnsi="Times New Roman" w:eastAsia="仿宋_GB2312"/>
                <w:sz w:val="24"/>
              </w:rPr>
            </w:pPr>
          </w:p>
          <w:p w14:paraId="5D4B6A29">
            <w:pPr>
              <w:spacing w:line="480" w:lineRule="exact"/>
              <w:rPr>
                <w:rFonts w:ascii="Times New Roman" w:hAnsi="Times New Roman" w:eastAsia="仿宋_GB2312"/>
                <w:sz w:val="24"/>
              </w:rPr>
            </w:pPr>
          </w:p>
        </w:tc>
        <w:tc>
          <w:tcPr>
            <w:tcW w:w="4534" w:type="dxa"/>
            <w:gridSpan w:val="2"/>
            <w:vAlign w:val="center"/>
          </w:tcPr>
          <w:p w14:paraId="31348F6C">
            <w:pPr>
              <w:widowControl/>
              <w:jc w:val="left"/>
              <w:rPr>
                <w:rFonts w:ascii="Times New Roman" w:hAnsi="Times New Roman"/>
                <w:sz w:val="24"/>
              </w:rPr>
            </w:pPr>
          </w:p>
        </w:tc>
      </w:tr>
      <w:tr w14:paraId="592A4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573" w:type="dxa"/>
            <w:vMerge w:val="continue"/>
            <w:vAlign w:val="center"/>
          </w:tcPr>
          <w:p w14:paraId="61457F0D">
            <w:pPr>
              <w:spacing w:line="480" w:lineRule="exact"/>
              <w:rPr>
                <w:rFonts w:ascii="Times New Roman" w:hAnsi="Times New Roman"/>
                <w:sz w:val="24"/>
              </w:rPr>
            </w:pPr>
          </w:p>
        </w:tc>
        <w:tc>
          <w:tcPr>
            <w:tcW w:w="4181" w:type="dxa"/>
            <w:gridSpan w:val="2"/>
            <w:vAlign w:val="center"/>
          </w:tcPr>
          <w:p w14:paraId="42280704">
            <w:pPr>
              <w:spacing w:line="480" w:lineRule="exact"/>
              <w:rPr>
                <w:rFonts w:ascii="Times New Roman" w:hAnsi="Times New Roman" w:eastAsia="仿宋_GB2312"/>
                <w:sz w:val="24"/>
              </w:rPr>
            </w:pPr>
            <w:r>
              <w:rPr>
                <w:rFonts w:ascii="Times New Roman" w:hAnsi="Times New Roman" w:eastAsia="仿宋_GB2312"/>
                <w:sz w:val="24"/>
              </w:rPr>
              <w:t>2．</w:t>
            </w:r>
          </w:p>
          <w:p w14:paraId="14A1F082">
            <w:pPr>
              <w:spacing w:line="480" w:lineRule="exact"/>
              <w:rPr>
                <w:rFonts w:ascii="Times New Roman" w:hAnsi="Times New Roman" w:eastAsia="仿宋_GB2312"/>
                <w:sz w:val="24"/>
              </w:rPr>
            </w:pPr>
          </w:p>
          <w:p w14:paraId="23946CB7">
            <w:pPr>
              <w:spacing w:line="480" w:lineRule="exact"/>
              <w:rPr>
                <w:rFonts w:ascii="Times New Roman" w:hAnsi="Times New Roman" w:eastAsia="仿宋_GB2312"/>
                <w:sz w:val="24"/>
              </w:rPr>
            </w:pPr>
          </w:p>
          <w:p w14:paraId="101B78E2">
            <w:pPr>
              <w:spacing w:line="480" w:lineRule="exact"/>
              <w:rPr>
                <w:rFonts w:ascii="Times New Roman" w:hAnsi="Times New Roman" w:eastAsia="仿宋_GB2312"/>
                <w:sz w:val="24"/>
              </w:rPr>
            </w:pPr>
          </w:p>
        </w:tc>
        <w:tc>
          <w:tcPr>
            <w:tcW w:w="4534" w:type="dxa"/>
            <w:gridSpan w:val="2"/>
            <w:vAlign w:val="center"/>
          </w:tcPr>
          <w:p w14:paraId="08F925C2">
            <w:pPr>
              <w:widowControl/>
              <w:jc w:val="left"/>
              <w:rPr>
                <w:rFonts w:ascii="Times New Roman" w:hAnsi="Times New Roman"/>
                <w:sz w:val="24"/>
              </w:rPr>
            </w:pPr>
          </w:p>
        </w:tc>
      </w:tr>
      <w:tr w14:paraId="53C50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8" w:hRule="atLeast"/>
        </w:trPr>
        <w:tc>
          <w:tcPr>
            <w:tcW w:w="573" w:type="dxa"/>
            <w:vMerge w:val="continue"/>
            <w:vAlign w:val="center"/>
          </w:tcPr>
          <w:p w14:paraId="468D5DA7">
            <w:pPr>
              <w:spacing w:line="480" w:lineRule="exact"/>
              <w:rPr>
                <w:rFonts w:ascii="Times New Roman" w:hAnsi="Times New Roman"/>
                <w:sz w:val="24"/>
              </w:rPr>
            </w:pPr>
          </w:p>
        </w:tc>
        <w:tc>
          <w:tcPr>
            <w:tcW w:w="4181" w:type="dxa"/>
            <w:gridSpan w:val="2"/>
            <w:vAlign w:val="center"/>
          </w:tcPr>
          <w:p w14:paraId="384EB127">
            <w:pPr>
              <w:spacing w:line="480" w:lineRule="exact"/>
              <w:rPr>
                <w:rFonts w:ascii="Times New Roman" w:hAnsi="Times New Roman" w:eastAsia="仿宋_GB2312"/>
                <w:sz w:val="24"/>
              </w:rPr>
            </w:pPr>
            <w:r>
              <w:rPr>
                <w:rFonts w:ascii="Times New Roman" w:hAnsi="Times New Roman" w:eastAsia="仿宋_GB2312"/>
                <w:sz w:val="24"/>
              </w:rPr>
              <w:t>3．</w:t>
            </w:r>
          </w:p>
          <w:p w14:paraId="3DEEE4B5">
            <w:pPr>
              <w:spacing w:line="480" w:lineRule="exact"/>
              <w:rPr>
                <w:rFonts w:ascii="Times New Roman" w:hAnsi="Times New Roman" w:eastAsia="仿宋_GB2312"/>
                <w:sz w:val="24"/>
              </w:rPr>
            </w:pPr>
          </w:p>
          <w:p w14:paraId="10C8CECC">
            <w:pPr>
              <w:spacing w:line="480" w:lineRule="exact"/>
              <w:rPr>
                <w:rFonts w:ascii="Times New Roman" w:hAnsi="Times New Roman" w:eastAsia="仿宋_GB2312"/>
                <w:sz w:val="24"/>
              </w:rPr>
            </w:pPr>
          </w:p>
          <w:p w14:paraId="02B20FD3">
            <w:pPr>
              <w:spacing w:line="480" w:lineRule="exact"/>
              <w:rPr>
                <w:rFonts w:ascii="Times New Roman" w:hAnsi="Times New Roman" w:eastAsia="仿宋_GB2312"/>
                <w:sz w:val="24"/>
              </w:rPr>
            </w:pPr>
          </w:p>
        </w:tc>
        <w:tc>
          <w:tcPr>
            <w:tcW w:w="4534" w:type="dxa"/>
            <w:gridSpan w:val="2"/>
            <w:vAlign w:val="center"/>
          </w:tcPr>
          <w:p w14:paraId="0415CF79">
            <w:pPr>
              <w:widowControl/>
              <w:jc w:val="left"/>
              <w:rPr>
                <w:rFonts w:ascii="Times New Roman" w:hAnsi="Times New Roman"/>
                <w:sz w:val="24"/>
              </w:rPr>
            </w:pPr>
          </w:p>
        </w:tc>
      </w:tr>
      <w:tr w14:paraId="56F6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8" w:hRule="atLeast"/>
        </w:trPr>
        <w:tc>
          <w:tcPr>
            <w:tcW w:w="573" w:type="dxa"/>
            <w:vMerge w:val="continue"/>
            <w:vAlign w:val="center"/>
          </w:tcPr>
          <w:p w14:paraId="4809DCB0">
            <w:pPr>
              <w:spacing w:line="480" w:lineRule="exact"/>
              <w:rPr>
                <w:rFonts w:ascii="Times New Roman" w:hAnsi="Times New Roman"/>
                <w:sz w:val="24"/>
              </w:rPr>
            </w:pPr>
          </w:p>
        </w:tc>
        <w:tc>
          <w:tcPr>
            <w:tcW w:w="4181" w:type="dxa"/>
            <w:gridSpan w:val="2"/>
            <w:vAlign w:val="center"/>
          </w:tcPr>
          <w:p w14:paraId="3D643583">
            <w:pPr>
              <w:spacing w:line="480" w:lineRule="exact"/>
              <w:rPr>
                <w:rFonts w:ascii="Times New Roman" w:hAnsi="Times New Roman" w:eastAsia="仿宋_GB2312"/>
                <w:sz w:val="24"/>
              </w:rPr>
            </w:pPr>
            <w:r>
              <w:rPr>
                <w:rFonts w:ascii="Times New Roman" w:hAnsi="Times New Roman" w:eastAsia="仿宋_GB2312"/>
                <w:sz w:val="24"/>
              </w:rPr>
              <w:t>4．</w:t>
            </w:r>
          </w:p>
          <w:p w14:paraId="4865B9CE">
            <w:pPr>
              <w:spacing w:line="480" w:lineRule="exact"/>
              <w:rPr>
                <w:rFonts w:ascii="Times New Roman" w:hAnsi="Times New Roman" w:eastAsia="仿宋_GB2312"/>
                <w:sz w:val="24"/>
              </w:rPr>
            </w:pPr>
          </w:p>
          <w:p w14:paraId="0195FE2A">
            <w:pPr>
              <w:spacing w:line="480" w:lineRule="exact"/>
              <w:rPr>
                <w:rFonts w:ascii="Times New Roman" w:hAnsi="Times New Roman" w:eastAsia="仿宋_GB2312"/>
                <w:sz w:val="24"/>
              </w:rPr>
            </w:pPr>
          </w:p>
          <w:p w14:paraId="72443B11">
            <w:pPr>
              <w:spacing w:line="480" w:lineRule="exact"/>
              <w:rPr>
                <w:rFonts w:ascii="Times New Roman" w:hAnsi="Times New Roman" w:eastAsia="仿宋_GB2312"/>
                <w:sz w:val="24"/>
              </w:rPr>
            </w:pPr>
          </w:p>
        </w:tc>
        <w:tc>
          <w:tcPr>
            <w:tcW w:w="4534" w:type="dxa"/>
            <w:gridSpan w:val="2"/>
            <w:vAlign w:val="center"/>
          </w:tcPr>
          <w:p w14:paraId="3E9AE2A7">
            <w:pPr>
              <w:widowControl/>
              <w:jc w:val="left"/>
              <w:rPr>
                <w:rFonts w:ascii="Times New Roman" w:hAnsi="Times New Roman"/>
                <w:sz w:val="24"/>
              </w:rPr>
            </w:pPr>
          </w:p>
        </w:tc>
      </w:tr>
      <w:tr w14:paraId="40132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0" w:hRule="atLeast"/>
        </w:trPr>
        <w:tc>
          <w:tcPr>
            <w:tcW w:w="573" w:type="dxa"/>
            <w:vMerge w:val="restart"/>
            <w:vAlign w:val="center"/>
          </w:tcPr>
          <w:p w14:paraId="36729512">
            <w:pPr>
              <w:spacing w:line="480" w:lineRule="exact"/>
              <w:jc w:val="center"/>
              <w:rPr>
                <w:rFonts w:ascii="Times New Roman" w:hAnsi="Times New Roman"/>
                <w:sz w:val="24"/>
              </w:rPr>
            </w:pPr>
            <w:r>
              <w:rPr>
                <w:rFonts w:ascii="Times New Roman" w:hAnsi="Times New Roman"/>
                <w:sz w:val="24"/>
              </w:rPr>
              <w:t>答辩记录</w:t>
            </w:r>
          </w:p>
        </w:tc>
        <w:tc>
          <w:tcPr>
            <w:tcW w:w="4181" w:type="dxa"/>
            <w:gridSpan w:val="2"/>
            <w:vAlign w:val="center"/>
          </w:tcPr>
          <w:p w14:paraId="64CDA6A2">
            <w:pPr>
              <w:spacing w:line="480" w:lineRule="exact"/>
              <w:jc w:val="left"/>
              <w:rPr>
                <w:rFonts w:ascii="Times New Roman" w:hAnsi="Times New Roman" w:eastAsia="仿宋_GB2312"/>
                <w:sz w:val="24"/>
              </w:rPr>
            </w:pPr>
            <w:r>
              <w:rPr>
                <w:rFonts w:ascii="Times New Roman" w:hAnsi="Times New Roman" w:eastAsia="仿宋_GB2312"/>
                <w:sz w:val="24"/>
              </w:rPr>
              <w:t>5．</w:t>
            </w:r>
          </w:p>
          <w:p w14:paraId="407E7F8D">
            <w:pPr>
              <w:spacing w:line="480" w:lineRule="exact"/>
              <w:jc w:val="left"/>
              <w:rPr>
                <w:rFonts w:ascii="Times New Roman" w:hAnsi="Times New Roman" w:eastAsia="仿宋_GB2312"/>
                <w:sz w:val="24"/>
              </w:rPr>
            </w:pPr>
          </w:p>
          <w:p w14:paraId="4FF010E0">
            <w:pPr>
              <w:spacing w:line="480" w:lineRule="exact"/>
              <w:jc w:val="left"/>
              <w:rPr>
                <w:rFonts w:ascii="Times New Roman" w:hAnsi="Times New Roman" w:eastAsia="仿宋_GB2312"/>
                <w:sz w:val="24"/>
              </w:rPr>
            </w:pPr>
          </w:p>
          <w:p w14:paraId="47C4343F">
            <w:pPr>
              <w:spacing w:line="480" w:lineRule="exact"/>
              <w:jc w:val="left"/>
              <w:rPr>
                <w:rFonts w:ascii="Times New Roman" w:hAnsi="Times New Roman" w:eastAsia="仿宋_GB2312"/>
                <w:sz w:val="24"/>
              </w:rPr>
            </w:pPr>
          </w:p>
        </w:tc>
        <w:tc>
          <w:tcPr>
            <w:tcW w:w="4534" w:type="dxa"/>
            <w:gridSpan w:val="2"/>
            <w:vAlign w:val="center"/>
          </w:tcPr>
          <w:p w14:paraId="4D152AAE">
            <w:pPr>
              <w:widowControl/>
              <w:jc w:val="left"/>
              <w:rPr>
                <w:rFonts w:ascii="Times New Roman" w:hAnsi="Times New Roman"/>
                <w:sz w:val="24"/>
              </w:rPr>
            </w:pPr>
          </w:p>
        </w:tc>
      </w:tr>
      <w:tr w14:paraId="6C27E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0" w:hRule="atLeast"/>
        </w:trPr>
        <w:tc>
          <w:tcPr>
            <w:tcW w:w="573" w:type="dxa"/>
            <w:vMerge w:val="continue"/>
            <w:vAlign w:val="center"/>
          </w:tcPr>
          <w:p w14:paraId="3AE138D1">
            <w:pPr>
              <w:spacing w:line="480" w:lineRule="exact"/>
              <w:rPr>
                <w:rFonts w:ascii="Times New Roman" w:hAnsi="Times New Roman"/>
                <w:sz w:val="24"/>
              </w:rPr>
            </w:pPr>
          </w:p>
        </w:tc>
        <w:tc>
          <w:tcPr>
            <w:tcW w:w="4181" w:type="dxa"/>
            <w:gridSpan w:val="2"/>
            <w:vAlign w:val="center"/>
          </w:tcPr>
          <w:p w14:paraId="6D4D8A48">
            <w:pPr>
              <w:spacing w:line="480" w:lineRule="exact"/>
              <w:jc w:val="left"/>
              <w:rPr>
                <w:rFonts w:ascii="Times New Roman" w:hAnsi="Times New Roman" w:eastAsia="仿宋_GB2312"/>
                <w:sz w:val="24"/>
              </w:rPr>
            </w:pPr>
            <w:r>
              <w:rPr>
                <w:rFonts w:ascii="Times New Roman" w:hAnsi="Times New Roman" w:eastAsia="仿宋_GB2312"/>
                <w:sz w:val="24"/>
              </w:rPr>
              <w:t>6</w:t>
            </w:r>
          </w:p>
          <w:p w14:paraId="52BEDC9F">
            <w:pPr>
              <w:spacing w:line="480" w:lineRule="exact"/>
              <w:jc w:val="left"/>
              <w:rPr>
                <w:rFonts w:ascii="Times New Roman" w:hAnsi="Times New Roman" w:eastAsia="仿宋_GB2312"/>
                <w:sz w:val="24"/>
              </w:rPr>
            </w:pPr>
          </w:p>
          <w:p w14:paraId="7F22B253">
            <w:pPr>
              <w:spacing w:line="480" w:lineRule="exact"/>
              <w:jc w:val="left"/>
              <w:rPr>
                <w:rFonts w:ascii="Times New Roman" w:hAnsi="Times New Roman" w:eastAsia="仿宋_GB2312"/>
                <w:sz w:val="24"/>
              </w:rPr>
            </w:pPr>
          </w:p>
          <w:p w14:paraId="71200FF0">
            <w:pPr>
              <w:spacing w:line="480" w:lineRule="exact"/>
              <w:jc w:val="left"/>
              <w:rPr>
                <w:rFonts w:ascii="Times New Roman" w:hAnsi="Times New Roman" w:eastAsia="仿宋_GB2312"/>
                <w:sz w:val="24"/>
              </w:rPr>
            </w:pPr>
          </w:p>
        </w:tc>
        <w:tc>
          <w:tcPr>
            <w:tcW w:w="4534" w:type="dxa"/>
            <w:gridSpan w:val="2"/>
            <w:vAlign w:val="center"/>
          </w:tcPr>
          <w:p w14:paraId="761058B4">
            <w:pPr>
              <w:widowControl/>
              <w:jc w:val="left"/>
              <w:rPr>
                <w:rFonts w:ascii="Times New Roman" w:hAnsi="Times New Roman"/>
                <w:sz w:val="24"/>
              </w:rPr>
            </w:pPr>
          </w:p>
        </w:tc>
      </w:tr>
      <w:tr w14:paraId="39CCE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trPr>
        <w:tc>
          <w:tcPr>
            <w:tcW w:w="573" w:type="dxa"/>
            <w:vMerge w:val="continue"/>
            <w:vAlign w:val="center"/>
          </w:tcPr>
          <w:p w14:paraId="52F92B23">
            <w:pPr>
              <w:spacing w:line="480" w:lineRule="exact"/>
              <w:rPr>
                <w:rFonts w:ascii="Times New Roman" w:hAnsi="Times New Roman"/>
                <w:sz w:val="24"/>
              </w:rPr>
            </w:pPr>
          </w:p>
        </w:tc>
        <w:tc>
          <w:tcPr>
            <w:tcW w:w="4181" w:type="dxa"/>
            <w:gridSpan w:val="2"/>
            <w:vAlign w:val="center"/>
          </w:tcPr>
          <w:p w14:paraId="3BF8C98A">
            <w:pPr>
              <w:spacing w:line="480" w:lineRule="exact"/>
              <w:jc w:val="left"/>
              <w:rPr>
                <w:rFonts w:ascii="Times New Roman" w:hAnsi="Times New Roman" w:eastAsia="仿宋_GB2312"/>
                <w:sz w:val="24"/>
              </w:rPr>
            </w:pPr>
            <w:r>
              <w:rPr>
                <w:rFonts w:ascii="Times New Roman" w:hAnsi="Times New Roman" w:eastAsia="仿宋_GB2312"/>
                <w:sz w:val="24"/>
              </w:rPr>
              <w:t>7</w:t>
            </w:r>
          </w:p>
          <w:p w14:paraId="52587538">
            <w:pPr>
              <w:spacing w:line="480" w:lineRule="exact"/>
              <w:jc w:val="left"/>
              <w:rPr>
                <w:rFonts w:ascii="Times New Roman" w:hAnsi="Times New Roman" w:eastAsia="仿宋_GB2312"/>
                <w:sz w:val="24"/>
              </w:rPr>
            </w:pPr>
          </w:p>
          <w:p w14:paraId="2695C721">
            <w:pPr>
              <w:spacing w:line="480" w:lineRule="exact"/>
              <w:jc w:val="left"/>
              <w:rPr>
                <w:rFonts w:ascii="Times New Roman" w:hAnsi="Times New Roman" w:eastAsia="仿宋_GB2312"/>
                <w:sz w:val="24"/>
              </w:rPr>
            </w:pPr>
          </w:p>
          <w:p w14:paraId="5B04F209">
            <w:pPr>
              <w:spacing w:line="480" w:lineRule="exact"/>
              <w:jc w:val="left"/>
              <w:rPr>
                <w:rFonts w:ascii="Times New Roman" w:hAnsi="Times New Roman" w:eastAsia="仿宋_GB2312"/>
                <w:sz w:val="24"/>
              </w:rPr>
            </w:pPr>
          </w:p>
        </w:tc>
        <w:tc>
          <w:tcPr>
            <w:tcW w:w="4534" w:type="dxa"/>
            <w:gridSpan w:val="2"/>
            <w:vAlign w:val="center"/>
          </w:tcPr>
          <w:p w14:paraId="67C6342F">
            <w:pPr>
              <w:widowControl/>
              <w:jc w:val="left"/>
              <w:rPr>
                <w:rFonts w:ascii="Times New Roman" w:hAnsi="Times New Roman"/>
                <w:sz w:val="24"/>
              </w:rPr>
            </w:pPr>
          </w:p>
        </w:tc>
      </w:tr>
      <w:tr w14:paraId="59084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7" w:hRule="atLeast"/>
        </w:trPr>
        <w:tc>
          <w:tcPr>
            <w:tcW w:w="573" w:type="dxa"/>
            <w:vMerge w:val="continue"/>
            <w:vAlign w:val="center"/>
          </w:tcPr>
          <w:p w14:paraId="047A7A30">
            <w:pPr>
              <w:spacing w:line="480" w:lineRule="exact"/>
              <w:rPr>
                <w:rFonts w:ascii="Times New Roman" w:hAnsi="Times New Roman"/>
                <w:sz w:val="24"/>
              </w:rPr>
            </w:pPr>
          </w:p>
        </w:tc>
        <w:tc>
          <w:tcPr>
            <w:tcW w:w="4181" w:type="dxa"/>
            <w:gridSpan w:val="2"/>
            <w:vAlign w:val="center"/>
          </w:tcPr>
          <w:p w14:paraId="69AE2B99">
            <w:pPr>
              <w:spacing w:line="480" w:lineRule="exact"/>
              <w:jc w:val="left"/>
              <w:rPr>
                <w:rFonts w:ascii="Times New Roman" w:hAnsi="Times New Roman" w:eastAsia="仿宋_GB2312"/>
                <w:sz w:val="24"/>
              </w:rPr>
            </w:pPr>
            <w:r>
              <w:rPr>
                <w:rFonts w:ascii="Times New Roman" w:hAnsi="Times New Roman" w:eastAsia="仿宋_GB2312"/>
                <w:sz w:val="24"/>
              </w:rPr>
              <w:t>8.</w:t>
            </w:r>
          </w:p>
          <w:p w14:paraId="59CB7435">
            <w:pPr>
              <w:spacing w:line="480" w:lineRule="exact"/>
              <w:jc w:val="left"/>
              <w:rPr>
                <w:rFonts w:ascii="Times New Roman" w:hAnsi="Times New Roman" w:eastAsia="仿宋_GB2312"/>
                <w:sz w:val="24"/>
              </w:rPr>
            </w:pPr>
          </w:p>
          <w:p w14:paraId="6D35F71C">
            <w:pPr>
              <w:spacing w:line="480" w:lineRule="exact"/>
              <w:jc w:val="left"/>
              <w:rPr>
                <w:rFonts w:ascii="Times New Roman" w:hAnsi="Times New Roman" w:eastAsia="仿宋_GB2312"/>
                <w:sz w:val="24"/>
              </w:rPr>
            </w:pPr>
          </w:p>
        </w:tc>
        <w:tc>
          <w:tcPr>
            <w:tcW w:w="4534" w:type="dxa"/>
            <w:gridSpan w:val="2"/>
            <w:vAlign w:val="center"/>
          </w:tcPr>
          <w:p w14:paraId="4A55CF8D">
            <w:pPr>
              <w:widowControl/>
              <w:jc w:val="left"/>
              <w:rPr>
                <w:rFonts w:ascii="Times New Roman" w:hAnsi="Times New Roman"/>
                <w:sz w:val="24"/>
              </w:rPr>
            </w:pPr>
          </w:p>
        </w:tc>
      </w:tr>
      <w:tr w14:paraId="3A242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3" w:hRule="atLeast"/>
        </w:trPr>
        <w:tc>
          <w:tcPr>
            <w:tcW w:w="573" w:type="dxa"/>
            <w:vAlign w:val="center"/>
          </w:tcPr>
          <w:p w14:paraId="2CB60CA3">
            <w:pPr>
              <w:spacing w:line="480" w:lineRule="exact"/>
              <w:rPr>
                <w:rFonts w:ascii="Times New Roman" w:hAnsi="Times New Roman"/>
                <w:sz w:val="24"/>
              </w:rPr>
            </w:pPr>
            <w:r>
              <w:rPr>
                <w:rFonts w:ascii="Times New Roman" w:hAnsi="Times New Roman"/>
                <w:sz w:val="24"/>
              </w:rPr>
              <w:t>答辩小组意见</w:t>
            </w:r>
          </w:p>
        </w:tc>
        <w:tc>
          <w:tcPr>
            <w:tcW w:w="8715" w:type="dxa"/>
            <w:gridSpan w:val="4"/>
            <w:vAlign w:val="center"/>
          </w:tcPr>
          <w:p w14:paraId="5F0F97AA">
            <w:pPr>
              <w:widowControl/>
              <w:spacing w:before="156" w:beforeLines="50"/>
              <w:jc w:val="left"/>
              <w:rPr>
                <w:rFonts w:ascii="Times New Roman" w:hAnsi="Times New Roman"/>
                <w:sz w:val="24"/>
              </w:rPr>
            </w:pPr>
            <w:r>
              <w:rPr>
                <w:rFonts w:ascii="Times New Roman" w:hAnsi="Times New Roman"/>
                <w:sz w:val="24"/>
              </w:rPr>
              <w:t>评语：</w:t>
            </w:r>
          </w:p>
          <w:p w14:paraId="743A356A">
            <w:pPr>
              <w:widowControl/>
              <w:jc w:val="left"/>
              <w:rPr>
                <w:rFonts w:ascii="Times New Roman" w:hAnsi="Times New Roman"/>
                <w:sz w:val="24"/>
              </w:rPr>
            </w:pPr>
          </w:p>
          <w:p w14:paraId="7820097B">
            <w:pPr>
              <w:widowControl/>
              <w:jc w:val="left"/>
              <w:rPr>
                <w:rFonts w:ascii="Times New Roman" w:hAnsi="Times New Roman"/>
                <w:sz w:val="24"/>
              </w:rPr>
            </w:pPr>
          </w:p>
          <w:p w14:paraId="0018BC22">
            <w:pPr>
              <w:widowControl/>
              <w:jc w:val="left"/>
              <w:rPr>
                <w:rFonts w:ascii="Times New Roman" w:hAnsi="Times New Roman"/>
                <w:sz w:val="24"/>
              </w:rPr>
            </w:pPr>
          </w:p>
          <w:p w14:paraId="4FF60EFC">
            <w:pPr>
              <w:widowControl/>
              <w:jc w:val="left"/>
              <w:rPr>
                <w:rFonts w:ascii="Times New Roman" w:hAnsi="Times New Roman"/>
                <w:sz w:val="24"/>
              </w:rPr>
            </w:pPr>
          </w:p>
          <w:p w14:paraId="2DA9C0F3">
            <w:pPr>
              <w:widowControl/>
              <w:jc w:val="left"/>
              <w:rPr>
                <w:rFonts w:ascii="Times New Roman" w:hAnsi="Times New Roman"/>
                <w:sz w:val="24"/>
              </w:rPr>
            </w:pPr>
            <w:r>
              <w:rPr>
                <w:rFonts w:ascii="Times New Roman" w:hAnsi="Times New Roman"/>
                <w:sz w:val="24"/>
              </w:rPr>
              <mc:AlternateContent>
                <mc:Choice Requires="wps">
                  <w:drawing>
                    <wp:anchor distT="0" distB="0" distL="114300" distR="114300" simplePos="0" relativeHeight="251663360" behindDoc="0" locked="0" layoutInCell="1" allowOverlap="1">
                      <wp:simplePos x="0" y="0"/>
                      <wp:positionH relativeFrom="column">
                        <wp:posOffset>146685</wp:posOffset>
                      </wp:positionH>
                      <wp:positionV relativeFrom="paragraph">
                        <wp:posOffset>177800</wp:posOffset>
                      </wp:positionV>
                      <wp:extent cx="2315210" cy="393065"/>
                      <wp:effectExtent l="0" t="0" r="27940" b="26035"/>
                      <wp:wrapNone/>
                      <wp:docPr id="1821519723"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315210" cy="393065"/>
                              </a:xfrm>
                              <a:prstGeom prst="rect">
                                <a:avLst/>
                              </a:prstGeom>
                              <a:solidFill>
                                <a:srgbClr val="FFFFFF"/>
                              </a:solidFill>
                              <a:ln w="9525">
                                <a:solidFill>
                                  <a:srgbClr val="000000"/>
                                </a:solidFill>
                                <a:miter lim="800000"/>
                              </a:ln>
                            </wps:spPr>
                            <wps:txbx>
                              <w:txbxContent>
                                <w:p w14:paraId="20FC84BF">
                                  <w:r>
                                    <w:rPr>
                                      <w:rFonts w:hint="eastAsia"/>
                                      <w:sz w:val="24"/>
                                    </w:rPr>
                                    <w:t>答辩论文成绩（分数）：</w:t>
                                  </w:r>
                                </w:p>
                              </w:txbxContent>
                            </wps:txbx>
                            <wps:bodyPr rot="0" vert="horz" wrap="square" lIns="91440" tIns="45720" rIns="91440" bIns="45720" anchor="t" anchorCtr="0" upright="1">
                              <a:noAutofit/>
                            </wps:bodyPr>
                          </wps:wsp>
                        </a:graphicData>
                      </a:graphic>
                    </wp:anchor>
                  </w:drawing>
                </mc:Choice>
                <mc:Fallback>
                  <w:pict>
                    <v:shape id="文本框 1" o:spid="_x0000_s1026" o:spt="202" type="#_x0000_t202" style="position:absolute;left:0pt;margin-left:11.55pt;margin-top:14pt;height:30.95pt;width:182.3pt;z-index:251663360;mso-width-relative:page;mso-height-relative:page;" fillcolor="#FFFFFF" filled="t" stroked="t" coordsize="21600,21600" o:gfxdata="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ZxoIx2AAAAAgBAAAPAAAAAAAAAAEA&#10;IAAAACIAAABkcnMvZG93bnJldi54bWxQSwECFAAUAAAACACHTuJASYRWC0gCAACQBAAADgAAAAAA&#10;AAABACAAAAAnAQAAZHJzL2Uyb0RvYy54bWxQSwUGAAAAAAYABgBZAQAA4QUAAAAA&#10;">
                      <v:fill on="t" focussize="0,0"/>
                      <v:stroke color="#000000" miterlimit="8" joinstyle="miter"/>
                      <v:imagedata o:title=""/>
                      <o:lock v:ext="edit" aspectratio="f"/>
                      <v:textbox>
                        <w:txbxContent>
                          <w:p w14:paraId="20FC84BF">
                            <w:r>
                              <w:rPr>
                                <w:rFonts w:hint="eastAsia"/>
                                <w:sz w:val="24"/>
                              </w:rPr>
                              <w:t>答辩论文成绩（分数）：</w:t>
                            </w:r>
                          </w:p>
                        </w:txbxContent>
                      </v:textbox>
                    </v:shape>
                  </w:pict>
                </mc:Fallback>
              </mc:AlternateContent>
            </w:r>
          </w:p>
          <w:p w14:paraId="645C04DD">
            <w:pPr>
              <w:widowControl/>
              <w:jc w:val="left"/>
              <w:rPr>
                <w:rFonts w:ascii="Times New Roman" w:hAnsi="Times New Roman"/>
                <w:sz w:val="24"/>
              </w:rPr>
            </w:pPr>
          </w:p>
          <w:p w14:paraId="39338347">
            <w:pPr>
              <w:widowControl/>
              <w:ind w:firstLine="210"/>
              <w:jc w:val="left"/>
              <w:rPr>
                <w:rFonts w:ascii="Times New Roman" w:hAnsi="Times New Roman"/>
              </w:rPr>
            </w:pPr>
          </w:p>
          <w:p w14:paraId="08401157">
            <w:pPr>
              <w:widowControl/>
              <w:spacing w:before="156" w:beforeLines="50" w:after="156" w:afterLines="50" w:line="360" w:lineRule="auto"/>
              <w:ind w:firstLine="4200" w:firstLineChars="1750"/>
              <w:jc w:val="left"/>
              <w:rPr>
                <w:rFonts w:ascii="Times New Roman" w:hAnsi="Times New Roman"/>
                <w:sz w:val="24"/>
              </w:rPr>
            </w:pPr>
            <w:r>
              <w:rPr>
                <w:rFonts w:ascii="Times New Roman" w:hAnsi="Times New Roman"/>
                <w:sz w:val="24"/>
              </w:rPr>
              <w:t>答辩主持人（签名）：</w:t>
            </w:r>
          </w:p>
          <w:p w14:paraId="1CE5E237">
            <w:pPr>
              <w:widowControl/>
              <w:spacing w:after="78" w:afterLines="25" w:line="360" w:lineRule="auto"/>
              <w:jc w:val="left"/>
              <w:rPr>
                <w:rFonts w:ascii="Times New Roman" w:hAnsi="Times New Roman"/>
                <w:sz w:val="24"/>
              </w:rPr>
            </w:pP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年   </w:t>
            </w:r>
            <w:r>
              <w:rPr>
                <w:rFonts w:hint="eastAsia" w:ascii="Times New Roman" w:hAnsi="Times New Roman"/>
                <w:sz w:val="24"/>
              </w:rPr>
              <w:t xml:space="preserve"> </w:t>
            </w:r>
            <w:r>
              <w:rPr>
                <w:rFonts w:ascii="Times New Roman" w:hAnsi="Times New Roman"/>
                <w:sz w:val="24"/>
              </w:rPr>
              <w:t xml:space="preserve"> 月   </w:t>
            </w:r>
            <w:r>
              <w:rPr>
                <w:rFonts w:hint="eastAsia" w:ascii="Times New Roman" w:hAnsi="Times New Roman"/>
                <w:sz w:val="24"/>
              </w:rPr>
              <w:t xml:space="preserve"> </w:t>
            </w:r>
            <w:r>
              <w:rPr>
                <w:rFonts w:ascii="Times New Roman" w:hAnsi="Times New Roman"/>
                <w:sz w:val="24"/>
              </w:rPr>
              <w:t xml:space="preserve"> 日</w:t>
            </w:r>
          </w:p>
        </w:tc>
      </w:tr>
    </w:tbl>
    <w:p w14:paraId="17F469D8">
      <w:pPr>
        <w:rPr>
          <w:rFonts w:ascii="Times New Roman" w:hAnsi="Times New Roman"/>
        </w:rPr>
      </w:pPr>
      <w:r>
        <w:rPr>
          <w:rFonts w:ascii="Times New Roman" w:hAnsi="Times New Roman"/>
        </w:rPr>
        <w:t>注：需要将每次答辩的记录都包含在内，如果是二次答辩，需单独增加第三部分</w:t>
      </w:r>
      <w:r>
        <w:rPr>
          <w:rFonts w:hint="eastAsia" w:ascii="Times New Roman" w:hAnsi="Times New Roman"/>
        </w:rPr>
        <w:t>“</w:t>
      </w:r>
      <w:r>
        <w:rPr>
          <w:rFonts w:ascii="Times New Roman" w:hAnsi="Times New Roman"/>
        </w:rPr>
        <w:t>论文答辩</w:t>
      </w:r>
      <w:r>
        <w:rPr>
          <w:rFonts w:hint="eastAsia" w:ascii="Times New Roman" w:hAnsi="Times New Roman"/>
        </w:rPr>
        <w:t>”</w:t>
      </w:r>
      <w:r>
        <w:rPr>
          <w:rFonts w:ascii="Times New Roman" w:hAnsi="Times New Roman"/>
        </w:rPr>
        <w:t>的表格。</w:t>
      </w:r>
    </w:p>
    <w:p w14:paraId="4CB124D5">
      <w:pPr>
        <w:spacing w:line="520" w:lineRule="exact"/>
        <w:jc w:val="left"/>
        <w:rPr>
          <w:rFonts w:ascii="Times New Roman" w:hAnsi="Times New Roman"/>
          <w:sz w:val="24"/>
        </w:rPr>
      </w:pPr>
    </w:p>
    <w:p w14:paraId="79AA91BD">
      <w:pPr>
        <w:spacing w:line="520" w:lineRule="exact"/>
        <w:jc w:val="left"/>
        <w:rPr>
          <w:rFonts w:ascii="Times New Roman" w:hAnsi="Times New Roman"/>
          <w:sz w:val="24"/>
        </w:rPr>
      </w:pPr>
    </w:p>
    <w:p w14:paraId="168D50B9">
      <w:pPr>
        <w:spacing w:line="520" w:lineRule="exact"/>
        <w:jc w:val="left"/>
        <w:rPr>
          <w:rFonts w:ascii="Times New Roman" w:hAnsi="Times New Roman"/>
          <w:sz w:val="24"/>
        </w:rPr>
      </w:pPr>
      <w:r>
        <w:rPr>
          <w:rFonts w:ascii="Times New Roman" w:hAnsi="Times New Roman"/>
          <w:sz w:val="24"/>
        </w:rPr>
        <w:t>四、审核意见</w:t>
      </w:r>
    </w:p>
    <w:tbl>
      <w:tblPr>
        <w:tblStyle w:val="12"/>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8460"/>
      </w:tblGrid>
      <w:tr w14:paraId="2CF29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3" w:hRule="atLeast"/>
        </w:trPr>
        <w:tc>
          <w:tcPr>
            <w:tcW w:w="828" w:type="dxa"/>
            <w:vAlign w:val="center"/>
          </w:tcPr>
          <w:p w14:paraId="465E8719">
            <w:pPr>
              <w:spacing w:line="480" w:lineRule="exact"/>
              <w:jc w:val="center"/>
              <w:rPr>
                <w:rFonts w:ascii="Times New Roman" w:hAnsi="Times New Roman"/>
                <w:sz w:val="24"/>
              </w:rPr>
            </w:pPr>
            <w:r>
              <w:rPr>
                <w:rFonts w:ascii="Times New Roman" w:hAnsi="Times New Roman"/>
                <w:sz w:val="24"/>
              </w:rPr>
              <w:t>学院</w:t>
            </w:r>
            <w:r>
              <w:rPr>
                <w:rFonts w:hint="eastAsia" w:ascii="Times New Roman" w:hAnsi="Times New Roman"/>
                <w:sz w:val="24"/>
              </w:rPr>
              <w:t>/</w:t>
            </w:r>
            <w:r>
              <w:rPr>
                <w:rFonts w:ascii="Times New Roman" w:hAnsi="Times New Roman"/>
                <w:sz w:val="24"/>
              </w:rPr>
              <w:t>分校意见</w:t>
            </w:r>
          </w:p>
        </w:tc>
        <w:tc>
          <w:tcPr>
            <w:tcW w:w="8460" w:type="dxa"/>
            <w:vAlign w:val="center"/>
          </w:tcPr>
          <w:p w14:paraId="3371A545">
            <w:pPr>
              <w:spacing w:line="480" w:lineRule="exact"/>
              <w:jc w:val="center"/>
              <w:rPr>
                <w:rFonts w:ascii="Times New Roman" w:hAnsi="Times New Roman"/>
                <w:sz w:val="24"/>
              </w:rPr>
            </w:pPr>
          </w:p>
          <w:p w14:paraId="29DE2414">
            <w:pPr>
              <w:spacing w:line="480" w:lineRule="exact"/>
              <w:jc w:val="center"/>
              <w:rPr>
                <w:rFonts w:ascii="Times New Roman" w:hAnsi="Times New Roman"/>
                <w:sz w:val="24"/>
              </w:rPr>
            </w:pPr>
          </w:p>
          <w:p w14:paraId="4A1AEF34">
            <w:pPr>
              <w:spacing w:line="480" w:lineRule="exact"/>
              <w:jc w:val="center"/>
              <w:rPr>
                <w:rFonts w:ascii="Times New Roman" w:hAnsi="Times New Roman"/>
                <w:sz w:val="24"/>
              </w:rPr>
            </w:pPr>
          </w:p>
          <w:p w14:paraId="065772DD">
            <w:pPr>
              <w:spacing w:line="480" w:lineRule="exact"/>
              <w:jc w:val="center"/>
              <w:rPr>
                <w:rFonts w:ascii="Times New Roman" w:hAnsi="Times New Roman"/>
                <w:sz w:val="24"/>
              </w:rPr>
            </w:pPr>
          </w:p>
          <w:p w14:paraId="63DE3B02">
            <w:pPr>
              <w:spacing w:line="480" w:lineRule="exact"/>
              <w:jc w:val="center"/>
              <w:rPr>
                <w:rFonts w:ascii="Times New Roman" w:hAnsi="Times New Roman"/>
                <w:sz w:val="24"/>
              </w:rPr>
            </w:pPr>
          </w:p>
          <w:p w14:paraId="5F8ABACE">
            <w:pPr>
              <w:spacing w:line="480" w:lineRule="exact"/>
              <w:rPr>
                <w:rFonts w:ascii="Times New Roman" w:hAnsi="Times New Roman"/>
                <w:sz w:val="24"/>
              </w:rPr>
            </w:pPr>
            <w:r>
              <w:rPr>
                <w:rFonts w:ascii="Times New Roman" w:hAnsi="Times New Roman"/>
                <w:sz w:val="24"/>
              </w:rPr>
              <w:t>专业负责人（签名）：                              负责部门公章</w:t>
            </w:r>
          </w:p>
          <w:p w14:paraId="682D4D12">
            <w:pPr>
              <w:spacing w:line="480" w:lineRule="exact"/>
              <w:ind w:firstLine="4095"/>
              <w:rPr>
                <w:rFonts w:ascii="Times New Roman" w:hAnsi="Times New Roman"/>
                <w:sz w:val="24"/>
              </w:rPr>
            </w:pP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年   </w:t>
            </w:r>
            <w:r>
              <w:rPr>
                <w:rFonts w:hint="eastAsia" w:ascii="Times New Roman" w:hAnsi="Times New Roman"/>
                <w:sz w:val="24"/>
              </w:rPr>
              <w:t xml:space="preserve"> </w:t>
            </w:r>
            <w:r>
              <w:rPr>
                <w:rFonts w:ascii="Times New Roman" w:hAnsi="Times New Roman"/>
                <w:sz w:val="24"/>
              </w:rPr>
              <w:t xml:space="preserve"> 月   </w:t>
            </w:r>
            <w:r>
              <w:rPr>
                <w:rFonts w:hint="eastAsia" w:ascii="Times New Roman" w:hAnsi="Times New Roman"/>
                <w:sz w:val="24"/>
              </w:rPr>
              <w:t xml:space="preserve"> </w:t>
            </w:r>
            <w:r>
              <w:rPr>
                <w:rFonts w:ascii="Times New Roman" w:hAnsi="Times New Roman"/>
                <w:sz w:val="24"/>
              </w:rPr>
              <w:t xml:space="preserve"> 日</w:t>
            </w:r>
          </w:p>
        </w:tc>
      </w:tr>
      <w:tr w14:paraId="7D3C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0" w:hRule="atLeast"/>
        </w:trPr>
        <w:tc>
          <w:tcPr>
            <w:tcW w:w="828" w:type="dxa"/>
            <w:vAlign w:val="center"/>
          </w:tcPr>
          <w:p w14:paraId="72662434">
            <w:pPr>
              <w:spacing w:line="480" w:lineRule="exact"/>
              <w:jc w:val="center"/>
              <w:rPr>
                <w:rFonts w:ascii="Times New Roman" w:hAnsi="Times New Roman"/>
                <w:sz w:val="24"/>
              </w:rPr>
            </w:pPr>
            <w:r>
              <w:rPr>
                <w:rFonts w:ascii="Times New Roman" w:hAnsi="Times New Roman"/>
                <w:sz w:val="24"/>
              </w:rPr>
              <w:t>分部复审意见</w:t>
            </w:r>
          </w:p>
        </w:tc>
        <w:tc>
          <w:tcPr>
            <w:tcW w:w="8460" w:type="dxa"/>
            <w:vAlign w:val="center"/>
          </w:tcPr>
          <w:p w14:paraId="5387DF77">
            <w:pPr>
              <w:spacing w:line="480" w:lineRule="exact"/>
              <w:jc w:val="center"/>
              <w:rPr>
                <w:rFonts w:ascii="Times New Roman" w:hAnsi="Times New Roman"/>
                <w:sz w:val="24"/>
              </w:rPr>
            </w:pPr>
          </w:p>
          <w:p w14:paraId="1E94CCBF">
            <w:pPr>
              <w:spacing w:line="480" w:lineRule="exact"/>
              <w:jc w:val="center"/>
              <w:rPr>
                <w:rFonts w:ascii="Times New Roman" w:hAnsi="Times New Roman"/>
                <w:sz w:val="24"/>
              </w:rPr>
            </w:pPr>
          </w:p>
          <w:p w14:paraId="4D7F802C">
            <w:pPr>
              <w:spacing w:line="480" w:lineRule="exact"/>
              <w:jc w:val="center"/>
              <w:rPr>
                <w:rFonts w:ascii="Times New Roman" w:hAnsi="Times New Roman"/>
                <w:sz w:val="24"/>
              </w:rPr>
            </w:pPr>
          </w:p>
          <w:p w14:paraId="2F64E816">
            <w:pPr>
              <w:spacing w:line="480" w:lineRule="exact"/>
              <w:jc w:val="center"/>
              <w:rPr>
                <w:rFonts w:ascii="Times New Roman" w:hAnsi="Times New Roman"/>
                <w:sz w:val="24"/>
              </w:rPr>
            </w:pPr>
          </w:p>
          <w:p w14:paraId="4D284E23">
            <w:pPr>
              <w:spacing w:line="480" w:lineRule="exact"/>
              <w:jc w:val="center"/>
              <w:rPr>
                <w:rFonts w:ascii="Times New Roman" w:hAnsi="Times New Roman"/>
                <w:sz w:val="24"/>
              </w:rPr>
            </w:pPr>
          </w:p>
          <w:p w14:paraId="1E4A6CC2">
            <w:pPr>
              <w:spacing w:line="480" w:lineRule="exact"/>
              <w:rPr>
                <w:rFonts w:ascii="Times New Roman" w:hAnsi="Times New Roman"/>
                <w:sz w:val="24"/>
              </w:rPr>
            </w:pPr>
            <w:r>
              <w:rPr>
                <w:rFonts w:ascii="Times New Roman" w:hAnsi="Times New Roman"/>
                <w:sz w:val="24"/>
              </w:rPr>
              <w:t>专业负责人（签名）：                              负责部门公章</w:t>
            </w:r>
          </w:p>
          <w:p w14:paraId="283B125D">
            <w:pPr>
              <w:spacing w:line="480" w:lineRule="exact"/>
              <w:ind w:firstLine="4095"/>
              <w:rPr>
                <w:rFonts w:ascii="Times New Roman" w:hAnsi="Times New Roman"/>
                <w:sz w:val="24"/>
              </w:rPr>
            </w:pP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年   </w:t>
            </w:r>
            <w:r>
              <w:rPr>
                <w:rFonts w:hint="eastAsia" w:ascii="Times New Roman" w:hAnsi="Times New Roman"/>
                <w:sz w:val="24"/>
              </w:rPr>
              <w:t xml:space="preserve"> </w:t>
            </w:r>
            <w:r>
              <w:rPr>
                <w:rFonts w:ascii="Times New Roman" w:hAnsi="Times New Roman"/>
                <w:sz w:val="24"/>
              </w:rPr>
              <w:t xml:space="preserve"> 月   </w:t>
            </w:r>
            <w:r>
              <w:rPr>
                <w:rFonts w:hint="eastAsia" w:ascii="Times New Roman" w:hAnsi="Times New Roman"/>
                <w:sz w:val="24"/>
              </w:rPr>
              <w:t xml:space="preserve"> </w:t>
            </w:r>
            <w:r>
              <w:rPr>
                <w:rFonts w:ascii="Times New Roman" w:hAnsi="Times New Roman"/>
                <w:sz w:val="24"/>
              </w:rPr>
              <w:t xml:space="preserve"> 日</w:t>
            </w:r>
          </w:p>
        </w:tc>
      </w:tr>
    </w:tbl>
    <w:p w14:paraId="0BE2CF83">
      <w:pPr>
        <w:rPr>
          <w:rFonts w:ascii="Times New Roman" w:hAnsi="Times New Roman"/>
        </w:rPr>
      </w:pPr>
      <w:r>
        <w:rPr>
          <w:rFonts w:ascii="Times New Roman" w:hAnsi="Times New Roman"/>
        </w:rPr>
        <w:t>注：如实际业务开展过程中，学院（分校）没有参与论文评审或承担相应审核职责，可不填</w:t>
      </w:r>
      <w:r>
        <w:rPr>
          <w:rFonts w:hint="eastAsia" w:ascii="Times New Roman" w:hAnsi="Times New Roman"/>
        </w:rPr>
        <w:t>学院/分校意见</w:t>
      </w:r>
      <w:r>
        <w:rPr>
          <w:rFonts w:ascii="Times New Roman" w:hAnsi="Times New Roman"/>
        </w:rPr>
        <w:t>栏。</w:t>
      </w:r>
    </w:p>
    <w:p w14:paraId="39AB4170">
      <w:pPr>
        <w:widowControl/>
        <w:jc w:val="left"/>
        <w:rPr>
          <w:sz w:val="28"/>
          <w:szCs w:val="28"/>
        </w:rPr>
      </w:pPr>
    </w:p>
    <w:sectPr>
      <w:footnotePr>
        <w:numFmt w:val="decimalEnclosedCircleChinese"/>
      </w:footnotePr>
      <w:pgSz w:w="11906" w:h="16838"/>
      <w:pgMar w:top="1440" w:right="1800" w:bottom="1440" w:left="1800" w:header="851" w:footer="992" w:gutter="0"/>
      <w:pgNumType w:start="1"/>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Windows 用户" w:date="2018-01-24T10:45:00Z" w:initials="W用">
    <w:p w14:paraId="2A8E06F7">
      <w:pPr>
        <w:pStyle w:val="2"/>
      </w:pPr>
      <w:r>
        <w:t>要求到</w:t>
      </w:r>
      <w:r>
        <w:rPr>
          <w:rFonts w:hint="eastAsia"/>
        </w:rPr>
        <w:t>3级标题</w:t>
      </w:r>
    </w:p>
  </w:comment>
  <w:comment w:id="1" w:author="Windows 用户" w:date="2018-01-24T10:45:00Z" w:initials="W用">
    <w:p w14:paraId="25AE0CD8">
      <w:pPr>
        <w:spacing w:line="360" w:lineRule="auto"/>
        <w:ind w:firstLine="560" w:firstLineChars="200"/>
        <w:jc w:val="left"/>
        <w:rPr>
          <w:rFonts w:ascii="宋体" w:hAnsi="宋体"/>
          <w:sz w:val="28"/>
          <w:szCs w:val="28"/>
        </w:rPr>
      </w:pPr>
      <w:r>
        <w:rPr>
          <w:rFonts w:hint="eastAsia" w:ascii="宋体" w:hAnsi="宋体"/>
          <w:sz w:val="28"/>
          <w:szCs w:val="28"/>
        </w:rPr>
        <w:t>内容字体为四号宋体。中文摘要应将学位论文的内容要点简短明了地表达出来，约</w:t>
      </w:r>
      <w:r>
        <w:rPr>
          <w:rFonts w:ascii="宋体" w:hAnsi="宋体"/>
          <w:sz w:val="28"/>
          <w:szCs w:val="28"/>
        </w:rPr>
        <w:t>300</w:t>
      </w:r>
      <w:r>
        <w:rPr>
          <w:rFonts w:hint="eastAsia" w:ascii="宋体" w:hAnsi="宋体"/>
          <w:sz w:val="28"/>
          <w:szCs w:val="28"/>
        </w:rPr>
        <w:t>字。内容应包括工作目的、研究方法、成果和结论。要突出本论文的创新点，语言力求精炼。</w:t>
      </w:r>
    </w:p>
    <w:p w14:paraId="212F8F84">
      <w:pPr>
        <w:pStyle w:val="2"/>
      </w:pPr>
    </w:p>
  </w:comment>
  <w:comment w:id="2" w:author="Windows 用户" w:date="2018-01-24T10:46:00Z" w:initials="W用">
    <w:p w14:paraId="38A174A6">
      <w:pPr>
        <w:pStyle w:val="2"/>
      </w:pPr>
      <w:r>
        <w:rPr>
          <w:rFonts w:hint="eastAsia"/>
        </w:rPr>
        <w:t>请输入关键词（3-5），以分号分隔。</w:t>
      </w:r>
    </w:p>
  </w:comment>
  <w:comment w:id="3" w:author="Windows 用户" w:date="2018-01-24T10:46:00Z" w:initials="W用">
    <w:p w14:paraId="2504D8E7">
      <w:pPr>
        <w:pStyle w:val="2"/>
      </w:pPr>
      <w:r>
        <w:t>数据要注明出处，以脚注的形式，脚注的内容要求同参考文献相同。</w:t>
      </w:r>
    </w:p>
  </w:comment>
  <w:comment w:id="4" w:author="Windows 用户" w:date="2018-01-24T10:47:00Z" w:initials="W用">
    <w:p w14:paraId="4601CC2A">
      <w:pPr>
        <w:pStyle w:val="2"/>
      </w:pPr>
      <w:r>
        <w:t>一级标题：黑体小二，段前、段后</w:t>
      </w:r>
      <w:r>
        <w:rPr>
          <w:rFonts w:hint="eastAsia"/>
        </w:rPr>
        <w:t>24 磅</w:t>
      </w:r>
    </w:p>
  </w:comment>
  <w:comment w:id="5" w:author="Windows 用户" w:date="2018-01-24T10:47:00Z" w:initials="W用">
    <w:p w14:paraId="4E025494">
      <w:pPr>
        <w:pStyle w:val="2"/>
      </w:pPr>
      <w:r>
        <w:t>二级标题：黑体小三，段前、段后</w:t>
      </w:r>
      <w:r>
        <w:rPr>
          <w:rFonts w:hint="eastAsia"/>
        </w:rPr>
        <w:t>18磅</w:t>
      </w:r>
    </w:p>
  </w:comment>
  <w:comment w:id="6" w:author="Windows 用户" w:date="2018-01-24T10:47:00Z" w:initials="W用">
    <w:p w14:paraId="4A738C21">
      <w:pPr>
        <w:pStyle w:val="2"/>
      </w:pPr>
      <w:r>
        <w:t>正文：宋体小四，行间距</w:t>
      </w:r>
      <w:r>
        <w:rPr>
          <w:rFonts w:hint="eastAsia"/>
        </w:rPr>
        <w:t>1.5倍，首行缩进2个字符，段前、段后为零。</w:t>
      </w:r>
    </w:p>
  </w:comment>
  <w:comment w:id="7" w:author="Windows 用户" w:date="2018-01-24T10:48:00Z" w:initials="W用">
    <w:p w14:paraId="4DD3AA13">
      <w:pPr>
        <w:pStyle w:val="2"/>
      </w:pPr>
      <w:r>
        <w:t>三级标题：黑体小四，段前、段后</w:t>
      </w:r>
      <w:r>
        <w:rPr>
          <w:rFonts w:hint="eastAsia"/>
        </w:rPr>
        <w:t>12 磅</w:t>
      </w:r>
    </w:p>
  </w:comment>
  <w:comment w:id="8" w:author="Windows 用户" w:date="2018-01-24T10:48:00Z" w:initials="W用">
    <w:p w14:paraId="4C307DCF">
      <w:pPr>
        <w:pStyle w:val="2"/>
      </w:pPr>
      <w:r>
        <w:t>参考文献不少于</w:t>
      </w:r>
      <w:r>
        <w:rPr>
          <w:rFonts w:hint="eastAsia"/>
        </w:rPr>
        <w:t>10篇，具体到页码，范例如下</w:t>
      </w:r>
    </w:p>
  </w:comment>
  <w:comment w:id="9" w:author="Windows 用户" w:date="2018-01-24T15:50:00Z" w:initials="W用">
    <w:p w14:paraId="6F713FEC">
      <w:pPr>
        <w:pStyle w:val="2"/>
      </w:pPr>
      <w:r>
        <w:t>手写</w:t>
      </w:r>
    </w:p>
  </w:comment>
  <w:comment w:id="10" w:author="Windows 用户" w:date="2018-01-24T15:51:00Z" w:initials="W用">
    <w:p w14:paraId="66AE37F1">
      <w:pPr>
        <w:pStyle w:val="2"/>
      </w:pPr>
      <w:r>
        <w:t>手写</w:t>
      </w:r>
    </w:p>
  </w:comment>
  <w:comment w:id="11" w:author="Windows 用户" w:date="2018-01-24T10:34:00Z" w:initials="W用">
    <w:p w14:paraId="44A51874">
      <w:pPr>
        <w:pStyle w:val="2"/>
      </w:pPr>
      <w:r>
        <w:t>要求到</w:t>
      </w:r>
      <w:r>
        <w:rPr>
          <w:rFonts w:hint="eastAsia"/>
        </w:rPr>
        <w:t>3级标题</w:t>
      </w:r>
    </w:p>
  </w:comment>
  <w:comment w:id="12" w:author="Windows 用户" w:date="2018-01-24T10:34:00Z" w:initials="W用">
    <w:p w14:paraId="0CA7F64E">
      <w:pPr>
        <w:spacing w:line="360" w:lineRule="auto"/>
        <w:ind w:firstLine="560" w:firstLineChars="200"/>
        <w:jc w:val="left"/>
        <w:rPr>
          <w:rFonts w:ascii="宋体" w:hAnsi="宋体"/>
          <w:sz w:val="28"/>
          <w:szCs w:val="28"/>
        </w:rPr>
      </w:pPr>
      <w:r>
        <w:rPr>
          <w:rFonts w:hint="eastAsia" w:ascii="宋体" w:hAnsi="宋体"/>
          <w:sz w:val="28"/>
          <w:szCs w:val="28"/>
        </w:rPr>
        <w:t>内容字体为四号宋体。中文摘要应将学位论文的内容要点简短明了地表达出来，约</w:t>
      </w:r>
      <w:r>
        <w:rPr>
          <w:rFonts w:ascii="宋体" w:hAnsi="宋体"/>
          <w:sz w:val="28"/>
          <w:szCs w:val="28"/>
        </w:rPr>
        <w:t>300</w:t>
      </w:r>
      <w:r>
        <w:rPr>
          <w:rFonts w:hint="eastAsia" w:ascii="宋体" w:hAnsi="宋体"/>
          <w:sz w:val="28"/>
          <w:szCs w:val="28"/>
        </w:rPr>
        <w:t>字。内容应包括工作目的、研究方法、成果和结论。要突出本论文的创新点，语言力求精炼。</w:t>
      </w:r>
    </w:p>
  </w:comment>
  <w:comment w:id="13" w:author="Windows 用户" w:date="2018-01-24T10:35:00Z" w:initials="W用">
    <w:p w14:paraId="22A0D1D9">
      <w:pPr>
        <w:pStyle w:val="2"/>
      </w:pPr>
      <w:r>
        <w:rPr>
          <w:rFonts w:hint="eastAsia" w:ascii="宋体" w:hAnsi="宋体"/>
          <w:sz w:val="28"/>
          <w:szCs w:val="28"/>
        </w:rPr>
        <w:t>请输入关键词（3-5），以分号分隔。</w:t>
      </w:r>
    </w:p>
  </w:comment>
  <w:comment w:id="14" w:author="Windows 用户" w:date="2018-01-24T10:41:00Z" w:initials="W用">
    <w:p w14:paraId="0E9F3E90">
      <w:pPr>
        <w:pStyle w:val="2"/>
      </w:pPr>
      <w:r>
        <w:t>数据要注明出处，以脚注的形式，脚注的内容要求同参考文献相同。</w:t>
      </w:r>
    </w:p>
  </w:comment>
  <w:comment w:id="15" w:author="Windows 用户" w:date="2018-01-24T10:36:00Z" w:initials="W用">
    <w:p w14:paraId="0E2FCDCB">
      <w:pPr>
        <w:pStyle w:val="2"/>
      </w:pPr>
      <w:r>
        <w:t>一级标题：黑体小二，段前、段后</w:t>
      </w:r>
      <w:r>
        <w:rPr>
          <w:rFonts w:hint="eastAsia"/>
        </w:rPr>
        <w:t>24 磅</w:t>
      </w:r>
    </w:p>
  </w:comment>
  <w:comment w:id="16" w:author="Windows 用户" w:date="2018-01-24T10:38:00Z" w:initials="W用">
    <w:p w14:paraId="5AF6900E">
      <w:pPr>
        <w:pStyle w:val="2"/>
      </w:pPr>
      <w:r>
        <w:t>二级标题：黑体小三，段前、段后</w:t>
      </w:r>
      <w:r>
        <w:rPr>
          <w:rFonts w:hint="eastAsia"/>
        </w:rPr>
        <w:t>18磅</w:t>
      </w:r>
    </w:p>
  </w:comment>
  <w:comment w:id="17" w:author="Windows 用户" w:date="2018-01-24T10:39:00Z" w:initials="W用">
    <w:p w14:paraId="4001427A">
      <w:pPr>
        <w:pStyle w:val="2"/>
      </w:pPr>
      <w:r>
        <w:t>正文：宋体小四，行间距</w:t>
      </w:r>
      <w:r>
        <w:rPr>
          <w:rFonts w:hint="eastAsia"/>
        </w:rPr>
        <w:t>1.5倍，首行缩进2个字符，段前、段后为零。</w:t>
      </w:r>
    </w:p>
  </w:comment>
  <w:comment w:id="18" w:author="Windows 用户" w:date="2018-01-24T10:41:00Z" w:initials="W用">
    <w:p w14:paraId="0B60108D">
      <w:pPr>
        <w:pStyle w:val="2"/>
      </w:pPr>
      <w:r>
        <w:t>三级标题：黑体小四，段前、段后</w:t>
      </w:r>
      <w:r>
        <w:rPr>
          <w:rFonts w:hint="eastAsia"/>
        </w:rPr>
        <w:t>12 磅</w:t>
      </w:r>
    </w:p>
  </w:comment>
  <w:comment w:id="19" w:author="Windows 用户" w:date="2018-01-24T10:42:00Z" w:initials="W用">
    <w:p w14:paraId="7F67969C">
      <w:pPr>
        <w:pStyle w:val="2"/>
      </w:pPr>
      <w:r>
        <w:t>参考文献不少于</w:t>
      </w:r>
      <w:r>
        <w:rPr>
          <w:rFonts w:hint="eastAsia"/>
        </w:rPr>
        <w:t>10篇，具体到页码，范例如下</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A8E06F7" w15:done="0"/>
  <w15:commentEx w15:paraId="212F8F84" w15:done="0"/>
  <w15:commentEx w15:paraId="38A174A6" w15:done="0"/>
  <w15:commentEx w15:paraId="2504D8E7" w15:done="0"/>
  <w15:commentEx w15:paraId="4601CC2A" w15:done="0"/>
  <w15:commentEx w15:paraId="4E025494" w15:done="0"/>
  <w15:commentEx w15:paraId="4A738C21" w15:done="0"/>
  <w15:commentEx w15:paraId="4DD3AA13" w15:done="0"/>
  <w15:commentEx w15:paraId="4C307DCF" w15:done="0"/>
  <w15:commentEx w15:paraId="6F713FEC" w15:done="0"/>
  <w15:commentEx w15:paraId="66AE37F1" w15:done="0"/>
  <w15:commentEx w15:paraId="44A51874" w15:done="0"/>
  <w15:commentEx w15:paraId="0CA7F64E" w15:done="0"/>
  <w15:commentEx w15:paraId="22A0D1D9" w15:done="0"/>
  <w15:commentEx w15:paraId="0E9F3E90" w15:done="0"/>
  <w15:commentEx w15:paraId="0E2FCDCB" w15:done="0"/>
  <w15:commentEx w15:paraId="5AF6900E" w15:done="0"/>
  <w15:commentEx w15:paraId="4001427A" w15:done="0"/>
  <w15:commentEx w15:paraId="0B60108D" w15:done="0"/>
  <w15:commentEx w15:paraId="7F67969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7A344">
    <w:pPr>
      <w:pStyle w:val="6"/>
    </w:pPr>
    <w:r>
      <w:pict>
        <v:shape id="文本框 2"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3D8641E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20</w:t>
                </w:r>
                <w:r>
                  <w:rPr>
                    <w:rFonts w:hint="eastAsia"/>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C1F52">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31C71F6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16</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61312;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Pi91E0AAAAAIBAAAPAAAAAAAAAAEAIAAAACIAAABkcnMvZG93&#10;bnJldi54bWxQSwECFAAUAAAACACHTuJAAu2O5ggCAAABBAAADgAAAAAAAAABACAAAAAfAQAAZHJz&#10;L2Uyb0RvYy54bWxQSwUGAAAAAAYABgBZAQAAmQUAAAAA&#10;">
              <v:fill on="f" focussize="0,0"/>
              <v:stroke on="f"/>
              <v:imagedata o:title=""/>
              <o:lock v:ext="edit" aspectratio="f"/>
              <v:textbox inset="0mm,0mm,0mm,0mm" style="mso-fit-shape-to-text:t;">
                <w:txbxContent>
                  <w:p w14:paraId="31C71F6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16</w:t>
                    </w:r>
                    <w:r>
                      <w:rPr>
                        <w:rFonts w:hint="eastAsia"/>
                        <w:sz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14:paraId="7B573F0B">
      <w:pPr>
        <w:spacing w:line="360" w:lineRule="auto"/>
        <w:rPr>
          <w:rFonts w:ascii="宋体" w:hAnsi="宋体" w:cs="宋体"/>
          <w:sz w:val="18"/>
          <w:szCs w:val="18"/>
        </w:rPr>
      </w:pPr>
      <w:r>
        <w:rPr>
          <w:rStyle w:val="17"/>
          <w:rFonts w:ascii="宋体" w:hAnsi="宋体"/>
        </w:rPr>
        <w:footnoteRef/>
      </w:r>
      <w:r>
        <w:rPr>
          <w:rFonts w:ascii="宋体" w:hAnsi="宋体"/>
          <w:sz w:val="18"/>
          <w:szCs w:val="18"/>
        </w:rPr>
        <w:t xml:space="preserve"> </w:t>
      </w:r>
      <w:r>
        <w:rPr>
          <w:rFonts w:hint="eastAsia" w:ascii="宋体" w:hAnsi="宋体" w:cs="宋体"/>
          <w:sz w:val="18"/>
          <w:szCs w:val="18"/>
        </w:rPr>
        <w:t>吴德林. 碳排放权会计问题初探[J].开放导报，2013，3： 22</w:t>
      </w:r>
    </w:p>
    <w:p w14:paraId="5D1A88D3">
      <w:pPr>
        <w:pStyle w:val="9"/>
      </w:pPr>
    </w:p>
  </w:footnote>
  <w:footnote w:id="1">
    <w:p w14:paraId="5DFFDBFF">
      <w:pPr>
        <w:spacing w:line="360" w:lineRule="auto"/>
        <w:rPr>
          <w:rFonts w:ascii="宋体" w:hAnsi="宋体" w:cs="宋体"/>
          <w:sz w:val="24"/>
        </w:rPr>
      </w:pPr>
      <w:r>
        <w:rPr>
          <w:rStyle w:val="17"/>
        </w:rPr>
        <w:footnoteRef/>
      </w:r>
      <w:r>
        <w:rPr>
          <w:rFonts w:hint="eastAsia" w:ascii="宋体" w:hAnsi="宋体" w:cs="宋体"/>
          <w:sz w:val="18"/>
          <w:szCs w:val="18"/>
        </w:rPr>
        <w:t>王艳龙，孙启明. 低碳经济下碳排放权会计问题探析[J]. 经济纵横，2010,12(5):23</w:t>
      </w:r>
    </w:p>
    <w:p w14:paraId="3BA79B35">
      <w:pPr>
        <w:pStyle w:val="9"/>
      </w:pPr>
    </w:p>
  </w:footnote>
  <w:footnote w:id="2">
    <w:p w14:paraId="4409D103">
      <w:pPr>
        <w:spacing w:line="360" w:lineRule="auto"/>
        <w:rPr>
          <w:rFonts w:ascii="宋体" w:hAnsi="宋体" w:cs="宋体"/>
          <w:sz w:val="18"/>
          <w:szCs w:val="18"/>
        </w:rPr>
      </w:pPr>
      <w:r>
        <w:rPr>
          <w:rStyle w:val="17"/>
          <w:rFonts w:ascii="宋体" w:hAnsi="宋体"/>
        </w:rPr>
        <w:footnoteRef/>
      </w:r>
      <w:r>
        <w:rPr>
          <w:rFonts w:ascii="宋体" w:hAnsi="宋体"/>
          <w:sz w:val="18"/>
          <w:szCs w:val="18"/>
        </w:rPr>
        <w:t xml:space="preserve"> </w:t>
      </w:r>
      <w:r>
        <w:rPr>
          <w:rFonts w:hint="eastAsia" w:ascii="宋体" w:hAnsi="宋体" w:cs="宋体"/>
          <w:sz w:val="18"/>
          <w:szCs w:val="18"/>
        </w:rPr>
        <w:t>吴德林. 碳排放权会计问题初探[J].开放导报，2013，3： 22</w:t>
      </w:r>
    </w:p>
    <w:p w14:paraId="47A4411F">
      <w:pPr>
        <w:pStyle w:val="9"/>
      </w:pPr>
    </w:p>
  </w:footnote>
  <w:footnote w:id="3">
    <w:p w14:paraId="036324B9">
      <w:pPr>
        <w:spacing w:line="360" w:lineRule="auto"/>
        <w:rPr>
          <w:rFonts w:ascii="宋体" w:hAnsi="宋体" w:cs="宋体"/>
          <w:sz w:val="24"/>
        </w:rPr>
      </w:pPr>
      <w:r>
        <w:rPr>
          <w:rStyle w:val="17"/>
        </w:rPr>
        <w:footnoteRef/>
      </w:r>
      <w:r>
        <w:rPr>
          <w:rFonts w:hint="eastAsia" w:ascii="宋体" w:hAnsi="宋体" w:cs="宋体"/>
          <w:sz w:val="18"/>
          <w:szCs w:val="18"/>
        </w:rPr>
        <w:t>王艳龙，孙启明. 低碳经济下碳排放权会计问题探析[J]. 经济纵横，2010,12(5):23</w:t>
      </w:r>
    </w:p>
    <w:p w14:paraId="0D847440">
      <w:pPr>
        <w:pStyle w:val="9"/>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numFmt w:val="decimalEnclosedCircleChinese"/>
    <w:footnote w:id="8"/>
    <w:footnote w:id="9"/>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44C"/>
    <w:rsid w:val="00017927"/>
    <w:rsid w:val="0004087A"/>
    <w:rsid w:val="00044FE7"/>
    <w:rsid w:val="00054C2A"/>
    <w:rsid w:val="00056DC9"/>
    <w:rsid w:val="00064AAA"/>
    <w:rsid w:val="00082995"/>
    <w:rsid w:val="00087FE6"/>
    <w:rsid w:val="0009694D"/>
    <w:rsid w:val="0009792B"/>
    <w:rsid w:val="000A49FB"/>
    <w:rsid w:val="000B2D56"/>
    <w:rsid w:val="000C2F5F"/>
    <w:rsid w:val="000C4C4C"/>
    <w:rsid w:val="00120BD5"/>
    <w:rsid w:val="00121535"/>
    <w:rsid w:val="00134612"/>
    <w:rsid w:val="00140176"/>
    <w:rsid w:val="00140C21"/>
    <w:rsid w:val="00160C41"/>
    <w:rsid w:val="00167482"/>
    <w:rsid w:val="0017089F"/>
    <w:rsid w:val="00171F7F"/>
    <w:rsid w:val="00173363"/>
    <w:rsid w:val="00182E4E"/>
    <w:rsid w:val="00185459"/>
    <w:rsid w:val="001871DF"/>
    <w:rsid w:val="00197815"/>
    <w:rsid w:val="00197B58"/>
    <w:rsid w:val="001C47B7"/>
    <w:rsid w:val="001E2EE2"/>
    <w:rsid w:val="001E3325"/>
    <w:rsid w:val="001E5A10"/>
    <w:rsid w:val="001E69DE"/>
    <w:rsid w:val="001F3D32"/>
    <w:rsid w:val="00202065"/>
    <w:rsid w:val="00213869"/>
    <w:rsid w:val="002158E5"/>
    <w:rsid w:val="002304E1"/>
    <w:rsid w:val="00256364"/>
    <w:rsid w:val="002772B8"/>
    <w:rsid w:val="00295056"/>
    <w:rsid w:val="002977AC"/>
    <w:rsid w:val="002A1F25"/>
    <w:rsid w:val="002A2B37"/>
    <w:rsid w:val="002B2646"/>
    <w:rsid w:val="002C76C3"/>
    <w:rsid w:val="002D1D0F"/>
    <w:rsid w:val="002D1F27"/>
    <w:rsid w:val="002E3185"/>
    <w:rsid w:val="00307F75"/>
    <w:rsid w:val="00310CF6"/>
    <w:rsid w:val="00324962"/>
    <w:rsid w:val="00324BE7"/>
    <w:rsid w:val="00326FA9"/>
    <w:rsid w:val="00335CB4"/>
    <w:rsid w:val="00341B60"/>
    <w:rsid w:val="00342739"/>
    <w:rsid w:val="003452B3"/>
    <w:rsid w:val="00355B18"/>
    <w:rsid w:val="003C52E5"/>
    <w:rsid w:val="003D6614"/>
    <w:rsid w:val="003E08D1"/>
    <w:rsid w:val="003E1726"/>
    <w:rsid w:val="003F78FE"/>
    <w:rsid w:val="00401069"/>
    <w:rsid w:val="00411431"/>
    <w:rsid w:val="00412B72"/>
    <w:rsid w:val="00460D15"/>
    <w:rsid w:val="00461148"/>
    <w:rsid w:val="00465EF2"/>
    <w:rsid w:val="0046603B"/>
    <w:rsid w:val="00472161"/>
    <w:rsid w:val="004766F7"/>
    <w:rsid w:val="004777AC"/>
    <w:rsid w:val="00477EC9"/>
    <w:rsid w:val="0049020C"/>
    <w:rsid w:val="00494DEE"/>
    <w:rsid w:val="004A34BB"/>
    <w:rsid w:val="004A7503"/>
    <w:rsid w:val="004B3267"/>
    <w:rsid w:val="004B5A60"/>
    <w:rsid w:val="004C2C1C"/>
    <w:rsid w:val="004C375A"/>
    <w:rsid w:val="004C774A"/>
    <w:rsid w:val="0050560D"/>
    <w:rsid w:val="00513636"/>
    <w:rsid w:val="005934F5"/>
    <w:rsid w:val="00595950"/>
    <w:rsid w:val="005D4877"/>
    <w:rsid w:val="005E06E5"/>
    <w:rsid w:val="005E351D"/>
    <w:rsid w:val="005E4B62"/>
    <w:rsid w:val="005F58B5"/>
    <w:rsid w:val="00600848"/>
    <w:rsid w:val="00601963"/>
    <w:rsid w:val="00610890"/>
    <w:rsid w:val="00635BF6"/>
    <w:rsid w:val="00661C01"/>
    <w:rsid w:val="00670552"/>
    <w:rsid w:val="006920E8"/>
    <w:rsid w:val="006A31AF"/>
    <w:rsid w:val="006A4C44"/>
    <w:rsid w:val="006B4BE6"/>
    <w:rsid w:val="006B75FF"/>
    <w:rsid w:val="006C0643"/>
    <w:rsid w:val="006E1386"/>
    <w:rsid w:val="006E172A"/>
    <w:rsid w:val="006E34D1"/>
    <w:rsid w:val="006E6AC6"/>
    <w:rsid w:val="0071583D"/>
    <w:rsid w:val="00744534"/>
    <w:rsid w:val="00761ABA"/>
    <w:rsid w:val="0077440C"/>
    <w:rsid w:val="00776C70"/>
    <w:rsid w:val="007B2D77"/>
    <w:rsid w:val="007D0BCC"/>
    <w:rsid w:val="007D333F"/>
    <w:rsid w:val="007D41E8"/>
    <w:rsid w:val="007E250D"/>
    <w:rsid w:val="007E7683"/>
    <w:rsid w:val="00804187"/>
    <w:rsid w:val="00820B55"/>
    <w:rsid w:val="00836FFC"/>
    <w:rsid w:val="00837B48"/>
    <w:rsid w:val="00841964"/>
    <w:rsid w:val="008449C3"/>
    <w:rsid w:val="008456F7"/>
    <w:rsid w:val="008777C3"/>
    <w:rsid w:val="00880C56"/>
    <w:rsid w:val="008A3501"/>
    <w:rsid w:val="008B443F"/>
    <w:rsid w:val="008C4B1B"/>
    <w:rsid w:val="008C522B"/>
    <w:rsid w:val="008D5CE4"/>
    <w:rsid w:val="008E3D3A"/>
    <w:rsid w:val="008E70E3"/>
    <w:rsid w:val="0092377E"/>
    <w:rsid w:val="00924037"/>
    <w:rsid w:val="009473BE"/>
    <w:rsid w:val="009563B4"/>
    <w:rsid w:val="00970B71"/>
    <w:rsid w:val="00983957"/>
    <w:rsid w:val="009858C0"/>
    <w:rsid w:val="009A7DAF"/>
    <w:rsid w:val="009B124B"/>
    <w:rsid w:val="009B1DA9"/>
    <w:rsid w:val="009C365F"/>
    <w:rsid w:val="009D7A3D"/>
    <w:rsid w:val="009E59D3"/>
    <w:rsid w:val="009F1DD1"/>
    <w:rsid w:val="009F7C1B"/>
    <w:rsid w:val="00A064F6"/>
    <w:rsid w:val="00A07175"/>
    <w:rsid w:val="00A0731E"/>
    <w:rsid w:val="00A12AB7"/>
    <w:rsid w:val="00A1377A"/>
    <w:rsid w:val="00A360D4"/>
    <w:rsid w:val="00A67779"/>
    <w:rsid w:val="00A92EE9"/>
    <w:rsid w:val="00A976CE"/>
    <w:rsid w:val="00AA3CC6"/>
    <w:rsid w:val="00AA48B5"/>
    <w:rsid w:val="00AC0550"/>
    <w:rsid w:val="00AC6E68"/>
    <w:rsid w:val="00AD1DE9"/>
    <w:rsid w:val="00AD6E6F"/>
    <w:rsid w:val="00AF0B5B"/>
    <w:rsid w:val="00B163DE"/>
    <w:rsid w:val="00B23225"/>
    <w:rsid w:val="00B26CE7"/>
    <w:rsid w:val="00B36EB7"/>
    <w:rsid w:val="00B43BF2"/>
    <w:rsid w:val="00B4401C"/>
    <w:rsid w:val="00B47AB0"/>
    <w:rsid w:val="00B66987"/>
    <w:rsid w:val="00B816D8"/>
    <w:rsid w:val="00B829CE"/>
    <w:rsid w:val="00B95516"/>
    <w:rsid w:val="00BC15F8"/>
    <w:rsid w:val="00BC6AF9"/>
    <w:rsid w:val="00BC7487"/>
    <w:rsid w:val="00C07C33"/>
    <w:rsid w:val="00C359D8"/>
    <w:rsid w:val="00C36BD2"/>
    <w:rsid w:val="00C42DCB"/>
    <w:rsid w:val="00C46739"/>
    <w:rsid w:val="00C62AE2"/>
    <w:rsid w:val="00C70579"/>
    <w:rsid w:val="00C71012"/>
    <w:rsid w:val="00C7110F"/>
    <w:rsid w:val="00C86A8F"/>
    <w:rsid w:val="00C8774A"/>
    <w:rsid w:val="00C9780E"/>
    <w:rsid w:val="00C97C87"/>
    <w:rsid w:val="00CC30DF"/>
    <w:rsid w:val="00CD01BC"/>
    <w:rsid w:val="00CD142A"/>
    <w:rsid w:val="00CF02B1"/>
    <w:rsid w:val="00CF1196"/>
    <w:rsid w:val="00CF22AE"/>
    <w:rsid w:val="00CF6ABE"/>
    <w:rsid w:val="00D22431"/>
    <w:rsid w:val="00D273FB"/>
    <w:rsid w:val="00D625D4"/>
    <w:rsid w:val="00D8747C"/>
    <w:rsid w:val="00DC1944"/>
    <w:rsid w:val="00DE0A7E"/>
    <w:rsid w:val="00DE5D10"/>
    <w:rsid w:val="00DF4533"/>
    <w:rsid w:val="00E00E97"/>
    <w:rsid w:val="00E26AAF"/>
    <w:rsid w:val="00E27B92"/>
    <w:rsid w:val="00E36608"/>
    <w:rsid w:val="00E47D4A"/>
    <w:rsid w:val="00E60071"/>
    <w:rsid w:val="00E63391"/>
    <w:rsid w:val="00E64865"/>
    <w:rsid w:val="00E74632"/>
    <w:rsid w:val="00E83673"/>
    <w:rsid w:val="00E86B46"/>
    <w:rsid w:val="00EB2392"/>
    <w:rsid w:val="00EB3D2E"/>
    <w:rsid w:val="00EE5980"/>
    <w:rsid w:val="00EE5BD0"/>
    <w:rsid w:val="00F02F48"/>
    <w:rsid w:val="00F105A1"/>
    <w:rsid w:val="00F10C64"/>
    <w:rsid w:val="00F140E0"/>
    <w:rsid w:val="00F16E95"/>
    <w:rsid w:val="00F175CB"/>
    <w:rsid w:val="00F329BD"/>
    <w:rsid w:val="00F356A8"/>
    <w:rsid w:val="00F457E5"/>
    <w:rsid w:val="00F4744C"/>
    <w:rsid w:val="00F47611"/>
    <w:rsid w:val="00F525A5"/>
    <w:rsid w:val="00F5290F"/>
    <w:rsid w:val="00F61BDD"/>
    <w:rsid w:val="00F87715"/>
    <w:rsid w:val="00FA4577"/>
    <w:rsid w:val="00FC1169"/>
    <w:rsid w:val="00FC20ED"/>
    <w:rsid w:val="00FC2D57"/>
    <w:rsid w:val="00FE588B"/>
    <w:rsid w:val="00FF14B2"/>
    <w:rsid w:val="00FF3E84"/>
    <w:rsid w:val="00FF629C"/>
    <w:rsid w:val="214B37CB"/>
    <w:rsid w:val="5F4D02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semiHidden="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31"/>
    <w:uiPriority w:val="0"/>
    <w:pPr>
      <w:jc w:val="left"/>
    </w:pPr>
    <w:rPr>
      <w:rFonts w:ascii="Times New Roman" w:hAnsi="Times New Roman" w:eastAsia="宋体" w:cs="Times New Roman"/>
      <w:szCs w:val="24"/>
    </w:rPr>
  </w:style>
  <w:style w:type="paragraph" w:styleId="3">
    <w:name w:val="Body Text Indent"/>
    <w:basedOn w:val="1"/>
    <w:link w:val="34"/>
    <w:uiPriority w:val="0"/>
    <w:pPr>
      <w:spacing w:after="120"/>
      <w:ind w:left="420" w:leftChars="200"/>
    </w:pPr>
    <w:rPr>
      <w:rFonts w:ascii="Calibri" w:hAnsi="Calibri" w:eastAsia="宋体" w:cs="Times New Roman"/>
      <w:szCs w:val="24"/>
    </w:rPr>
  </w:style>
  <w:style w:type="paragraph" w:styleId="4">
    <w:name w:val="toc 3"/>
    <w:basedOn w:val="1"/>
    <w:next w:val="1"/>
    <w:qFormat/>
    <w:uiPriority w:val="0"/>
    <w:pPr>
      <w:ind w:left="840" w:leftChars="400"/>
    </w:pPr>
    <w:rPr>
      <w:rFonts w:ascii="Calibri" w:hAnsi="Calibri" w:eastAsia="宋体" w:cs="Times New Roman"/>
      <w:szCs w:val="24"/>
    </w:rPr>
  </w:style>
  <w:style w:type="paragraph" w:styleId="5">
    <w:name w:val="Balloon Text"/>
    <w:basedOn w:val="1"/>
    <w:link w:val="35"/>
    <w:semiHidden/>
    <w:unhideWhenUsed/>
    <w:qFormat/>
    <w:uiPriority w:val="99"/>
    <w:rPr>
      <w:sz w:val="18"/>
      <w:szCs w:val="18"/>
    </w:rPr>
  </w:style>
  <w:style w:type="paragraph" w:styleId="6">
    <w:name w:val="footer"/>
    <w:basedOn w:val="1"/>
    <w:link w:val="19"/>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iPriority w:val="0"/>
    <w:pPr>
      <w:widowControl/>
      <w:spacing w:after="100" w:line="276" w:lineRule="auto"/>
      <w:jc w:val="left"/>
    </w:pPr>
    <w:rPr>
      <w:rFonts w:ascii="Calibri" w:hAnsi="Calibri" w:eastAsia="宋体" w:cs="Times New Roman"/>
      <w:kern w:val="0"/>
      <w:sz w:val="22"/>
    </w:rPr>
  </w:style>
  <w:style w:type="paragraph" w:styleId="9">
    <w:name w:val="footnote text"/>
    <w:basedOn w:val="1"/>
    <w:link w:val="24"/>
    <w:qFormat/>
    <w:uiPriority w:val="0"/>
    <w:pPr>
      <w:snapToGrid w:val="0"/>
      <w:jc w:val="left"/>
    </w:pPr>
    <w:rPr>
      <w:rFonts w:ascii="Times New Roman" w:hAnsi="Times New Roman" w:eastAsia="宋体" w:cs="Times New Roman"/>
      <w:sz w:val="18"/>
      <w:szCs w:val="18"/>
    </w:rPr>
  </w:style>
  <w:style w:type="paragraph" w:styleId="10">
    <w:name w:val="toc 2"/>
    <w:basedOn w:val="1"/>
    <w:next w:val="1"/>
    <w:uiPriority w:val="0"/>
    <w:pPr>
      <w:widowControl/>
      <w:spacing w:after="100" w:line="276" w:lineRule="auto"/>
      <w:ind w:left="220"/>
      <w:jc w:val="left"/>
    </w:pPr>
    <w:rPr>
      <w:rFonts w:ascii="Calibri" w:hAnsi="Calibri" w:eastAsia="宋体" w:cs="Times New Roman"/>
      <w:kern w:val="0"/>
      <w:sz w:val="22"/>
    </w:rPr>
  </w:style>
  <w:style w:type="paragraph" w:styleId="11">
    <w:name w:val="Normal (Web)"/>
    <w:basedOn w:val="1"/>
    <w:qFormat/>
    <w:uiPriority w:val="0"/>
    <w:pPr>
      <w:widowControl/>
      <w:spacing w:before="100" w:beforeAutospacing="1" w:after="100" w:afterAutospacing="1"/>
      <w:jc w:val="left"/>
    </w:pPr>
    <w:rPr>
      <w:rFonts w:ascii="宋体" w:hAnsi="宋体" w:eastAsia="宋体" w:cs="宋体"/>
      <w:kern w:val="0"/>
      <w:szCs w:val="21"/>
    </w:rPr>
  </w:style>
  <w:style w:type="character" w:styleId="14">
    <w:name w:val="Strong"/>
    <w:qFormat/>
    <w:uiPriority w:val="0"/>
    <w:rPr>
      <w:b/>
      <w:b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styleId="16">
    <w:name w:val="annotation reference"/>
    <w:qFormat/>
    <w:uiPriority w:val="0"/>
    <w:rPr>
      <w:sz w:val="21"/>
      <w:szCs w:val="21"/>
    </w:rPr>
  </w:style>
  <w:style w:type="character" w:styleId="17">
    <w:name w:val="footnote reference"/>
    <w:uiPriority w:val="0"/>
    <w:rPr>
      <w:vertAlign w:val="superscript"/>
    </w:rPr>
  </w:style>
  <w:style w:type="character" w:customStyle="1" w:styleId="18">
    <w:name w:val="页脚 字符"/>
    <w:basedOn w:val="13"/>
    <w:semiHidden/>
    <w:uiPriority w:val="99"/>
    <w:rPr>
      <w:sz w:val="18"/>
      <w:szCs w:val="18"/>
    </w:rPr>
  </w:style>
  <w:style w:type="character" w:customStyle="1" w:styleId="19">
    <w:name w:val="页脚 字符1"/>
    <w:link w:val="6"/>
    <w:uiPriority w:val="0"/>
    <w:rPr>
      <w:rFonts w:ascii="Times New Roman" w:hAnsi="Times New Roman" w:eastAsia="宋体" w:cs="Times New Roman"/>
      <w:sz w:val="18"/>
      <w:szCs w:val="18"/>
    </w:rPr>
  </w:style>
  <w:style w:type="character" w:customStyle="1" w:styleId="20">
    <w:name w:val="封面-论文英文题目"/>
    <w:qFormat/>
    <w:uiPriority w:val="0"/>
    <w:rPr>
      <w:rFonts w:ascii="Times New Roman" w:hAnsi="Times New Roman" w:eastAsia="宋体"/>
      <w:sz w:val="36"/>
    </w:rPr>
  </w:style>
  <w:style w:type="character" w:customStyle="1" w:styleId="21">
    <w:name w:val="封面2"/>
    <w:qFormat/>
    <w:uiPriority w:val="0"/>
    <w:rPr>
      <w:b/>
      <w:spacing w:val="60"/>
      <w:sz w:val="44"/>
    </w:rPr>
  </w:style>
  <w:style w:type="character" w:customStyle="1" w:styleId="22">
    <w:name w:val="封面1"/>
    <w:qFormat/>
    <w:uiPriority w:val="0"/>
    <w:rPr>
      <w:rFonts w:ascii="Times New Roman" w:hAnsi="Times New Roman" w:eastAsia="楷体_GB2312"/>
      <w:spacing w:val="60"/>
      <w:kern w:val="84"/>
      <w:sz w:val="84"/>
    </w:rPr>
  </w:style>
  <w:style w:type="character" w:customStyle="1" w:styleId="23">
    <w:name w:val="脚注文本 字符"/>
    <w:basedOn w:val="13"/>
    <w:semiHidden/>
    <w:uiPriority w:val="99"/>
    <w:rPr>
      <w:sz w:val="18"/>
      <w:szCs w:val="18"/>
    </w:rPr>
  </w:style>
  <w:style w:type="character" w:customStyle="1" w:styleId="24">
    <w:name w:val="脚注文本 字符1"/>
    <w:link w:val="9"/>
    <w:qFormat/>
    <w:uiPriority w:val="0"/>
    <w:rPr>
      <w:rFonts w:ascii="Times New Roman" w:hAnsi="Times New Roman" w:eastAsia="宋体" w:cs="Times New Roman"/>
      <w:sz w:val="18"/>
      <w:szCs w:val="18"/>
    </w:rPr>
  </w:style>
  <w:style w:type="paragraph" w:styleId="25">
    <w:name w:val="List Paragraph"/>
    <w:basedOn w:val="1"/>
    <w:qFormat/>
    <w:uiPriority w:val="34"/>
    <w:pPr>
      <w:ind w:firstLine="420" w:firstLineChars="200"/>
    </w:pPr>
    <w:rPr>
      <w:rFonts w:ascii="Times New Roman" w:hAnsi="Times New Roman" w:eastAsia="宋体" w:cs="Times New Roman"/>
      <w:szCs w:val="24"/>
    </w:rPr>
  </w:style>
  <w:style w:type="character" w:customStyle="1" w:styleId="26">
    <w:name w:val="页眉 字符"/>
    <w:basedOn w:val="13"/>
    <w:link w:val="7"/>
    <w:uiPriority w:val="99"/>
    <w:rPr>
      <w:sz w:val="18"/>
      <w:szCs w:val="18"/>
    </w:rPr>
  </w:style>
  <w:style w:type="character" w:customStyle="1" w:styleId="27">
    <w:name w:val="页脚 Char"/>
    <w:qFormat/>
    <w:uiPriority w:val="0"/>
    <w:rPr>
      <w:kern w:val="2"/>
      <w:sz w:val="18"/>
      <w:szCs w:val="18"/>
    </w:rPr>
  </w:style>
  <w:style w:type="paragraph" w:customStyle="1" w:styleId="28">
    <w:name w:val="_Style 22"/>
    <w:basedOn w:val="1"/>
    <w:next w:val="1"/>
    <w:uiPriority w:val="0"/>
    <w:pPr>
      <w:widowControl/>
      <w:spacing w:after="100" w:line="276" w:lineRule="auto"/>
      <w:ind w:left="220"/>
      <w:jc w:val="left"/>
    </w:pPr>
    <w:rPr>
      <w:rFonts w:ascii="Calibri" w:hAnsi="Calibri" w:eastAsia="宋体" w:cs="Times New Roman"/>
      <w:kern w:val="0"/>
      <w:sz w:val="22"/>
    </w:rPr>
  </w:style>
  <w:style w:type="character" w:customStyle="1" w:styleId="29">
    <w:name w:val="脚注文本 Char"/>
    <w:qFormat/>
    <w:uiPriority w:val="0"/>
    <w:rPr>
      <w:kern w:val="2"/>
      <w:sz w:val="18"/>
      <w:szCs w:val="18"/>
    </w:rPr>
  </w:style>
  <w:style w:type="character" w:customStyle="1" w:styleId="30">
    <w:name w:val="批注文字 字符"/>
    <w:basedOn w:val="13"/>
    <w:semiHidden/>
    <w:uiPriority w:val="99"/>
  </w:style>
  <w:style w:type="character" w:customStyle="1" w:styleId="31">
    <w:name w:val="批注文字 字符1"/>
    <w:link w:val="2"/>
    <w:qFormat/>
    <w:uiPriority w:val="0"/>
    <w:rPr>
      <w:rFonts w:ascii="Times New Roman" w:hAnsi="Times New Roman" w:eastAsia="宋体" w:cs="Times New Roman"/>
      <w:szCs w:val="24"/>
    </w:rPr>
  </w:style>
  <w:style w:type="paragraph" w:customStyle="1" w:styleId="32">
    <w:name w:val="正文（结尾部分）"/>
    <w:basedOn w:val="1"/>
    <w:uiPriority w:val="0"/>
    <w:pPr>
      <w:adjustRightInd w:val="0"/>
      <w:snapToGrid w:val="0"/>
      <w:spacing w:line="320" w:lineRule="exact"/>
      <w:ind w:firstLine="200" w:firstLineChars="200"/>
    </w:pPr>
    <w:rPr>
      <w:rFonts w:ascii="Times New Roman" w:hAnsi="Times New Roman" w:eastAsia="宋体" w:cs="Times New Roman"/>
      <w:szCs w:val="24"/>
    </w:rPr>
  </w:style>
  <w:style w:type="character" w:customStyle="1" w:styleId="33">
    <w:name w:val="正文文本缩进 字符"/>
    <w:basedOn w:val="13"/>
    <w:semiHidden/>
    <w:qFormat/>
    <w:uiPriority w:val="99"/>
  </w:style>
  <w:style w:type="character" w:customStyle="1" w:styleId="34">
    <w:name w:val="正文文本缩进 字符1"/>
    <w:link w:val="3"/>
    <w:uiPriority w:val="0"/>
    <w:rPr>
      <w:rFonts w:ascii="Calibri" w:hAnsi="Calibri" w:eastAsia="宋体" w:cs="Times New Roman"/>
      <w:szCs w:val="24"/>
    </w:rPr>
  </w:style>
  <w:style w:type="character" w:customStyle="1" w:styleId="35">
    <w:name w:val="批注框文本 字符"/>
    <w:basedOn w:val="13"/>
    <w:link w:val="5"/>
    <w:semiHidden/>
    <w:qFormat/>
    <w:uiPriority w:val="99"/>
    <w:rPr>
      <w:sz w:val="18"/>
      <w:szCs w:val="18"/>
    </w:rPr>
  </w:style>
  <w:style w:type="character" w:customStyle="1" w:styleId="36">
    <w:name w:val="Unresolved Mention"/>
    <w:basedOn w:val="13"/>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46</Pages>
  <Words>7843</Words>
  <Characters>8085</Characters>
  <Lines>184</Lines>
  <Paragraphs>51</Paragraphs>
  <TotalTime>459</TotalTime>
  <ScaleCrop>false</ScaleCrop>
  <LinksUpToDate>false</LinksUpToDate>
  <CharactersWithSpaces>8254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2018-01-24T01:48:00Z</dcterms:created>
  <dc:creator>孔敏</dc:creator>
  <cp:lastModifiedBy>linsiyu </cp:lastModifiedBy>
  <dcterms:modified xsi:type="dcterms:W3CDTF">2025-03-05T08:07:43Z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eyJoZGlkIjoiN2FlY2U5ZmYxMjBlOGE2ZjRhMTIxYzU0MzJkM2JkOTAiLCJ1c2VySWQiOiIyNDc1MDI0NTYifQ==</vt:lpwstr>
  </property>
  <property fmtid="{D5CDD505-2E9C-101B-9397-08002B2CF9AE}" pid="3" name="KSOProductBuildVer">
    <vt:lpwstr>2052-12.1.0.20305</vt:lpwstr>
  </property>
  <property fmtid="{D5CDD505-2E9C-101B-9397-08002B2CF9AE}" pid="4" name="ICV">
    <vt:lpwstr>BCE5DA5FA43D4993A4CAB43FB5ACDC2B_13</vt:lpwstr>
  </property>
</Properties>
</file>